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0"/>
          <w:szCs w:val="30"/>
        </w:rPr>
        <w:t xml:space="preserve">Respuesta punto por punto a los comentarios de los revisores</w:t>
      </w:r>
    </w:p>
    <w:p>
      <w:pPr>
        <w:spacing w:after="200"/>
      </w:pPr>
      <w:r>
        <w:rPr>
          <w:i/>
          <w:iCs/>
          <w:sz w:val="22"/>
          <w:szCs w:val="22"/>
        </w:rPr>
        <w:t xml:space="preserve">Versión de trabajo — acompaña a Manuscrito_Metodos_Resultados.docx</w:t>
      </w:r>
    </w:p>
    <w:p>
      <w:pPr>
        <w:spacing w:after="160"/>
        <w:jc w:val="both"/>
      </w:pPr>
      <w:r>
        <w:rPr>
          <w:b w:val="false"/>
          <w:bCs w:val="false"/>
          <w:i w:val="false"/>
          <w:iCs w:val="false"/>
        </w:rPr>
        <w:t xml:space="preserve">Este documento responde, uno por uno, los comentarios de los dos revisores sobre la versión anterior del manuscrito (LSTM, un solo sitio). Cada respuesta cita la sección, tabla o figura del manuscrito revisado que la sustenta; las referencias corresponden a la versión de Métodos y Resultados identificada en el Apéndice B; la fecha y el identificador deben actualizarse al congelar la versión de envío. Los comentarios que dependen de bloques aún no redactados —Resumen, Introducción, Discusión y Conclusiones— se marcan como pendientes, con la ubicación donde se resolverán, en vez de darse por respondidos sin evidencia. El comentario R2.3 del documento original llegó sin texto y no se incluye.</w:t>
      </w:r>
    </w:p>
    <w:p>
      <w:pPr>
        <w:spacing w:after="160"/>
        <w:jc w:val="both"/>
      </w:pPr>
      <w:r>
        <w:rPr>
          <w:b/>
          <w:bCs/>
        </w:rPr>
        <w:t xml:space="preserve">Leyenda: </w:t>
      </w:r>
      <w:r>
        <w:rPr>
          <w:b/>
          <w:bCs/>
          <w:color w:val="2E7D32"/>
        </w:rPr>
        <w:t xml:space="preserve">respondido con evidencia ya producida</w:t>
      </w:r>
      <w:r>
        <w:t xml:space="preserve">   ·   </w:t>
      </w:r>
      <w:r>
        <w:rPr>
          <w:b/>
          <w:bCs/>
          <w:color w:val="B26A00"/>
        </w:rPr>
        <w:t xml:space="preserve">pendiente de un bloque posterior (Discusión/Conclusiones) o de figuras aún no generadas</w:t>
      </w:r>
    </w:p>
    <w:p>
      <w:pPr>
        <w:pStyle w:val="Heading1"/>
        <w:spacing w:after="180" w:before="360"/>
      </w:pPr>
      <w:r>
        <w:t xml:space="preserve">Reviewer #1</w:t>
      </w:r>
    </w:p>
    <w:p>
      <w:pPr>
        <w:spacing w:after="40" w:before="320"/>
      </w:pPr>
      <w:r>
        <w:rPr>
          <w:b/>
          <w:bCs/>
          <w:sz w:val="24"/>
          <w:szCs w:val="24"/>
        </w:rPr>
        <w:t xml:space="preserve">R1.1 — Sensibilidad de la longitud de ventana y el paso</w:t>
      </w:r>
    </w:p>
    <w:p>
      <w:pPr>
        <w:pBdr>
          <w:left w:val="single" w:color="999999" w:sz="12" w:space="8"/>
        </w:pBdr>
        <w:shd w:fill="F2F2F2" w:val="clear"/>
        <w:spacing w:after="100" w:before="200"/>
        <w:ind w:left="200"/>
      </w:pPr>
      <w:r>
        <w:rPr>
          <w:i/>
          <w:iCs/>
          <w:sz w:val="21"/>
          <w:szCs w:val="21"/>
        </w:rPr>
        <w:t xml:space="preserve">“The authors used the sliding window method to generate dynamic connectivity matrices. However, the paper lacks a detailed sensitivity analysis about the selection of window length and step size.”</w:t>
      </w:r>
    </w:p>
    <w:p>
      <w:pPr>
        <w:spacing w:after="80"/>
      </w:pPr>
      <w:r>
        <w:rPr>
          <w:b/>
          <w:bCs/>
          <w:color w:val="2E7D32"/>
          <w:sz w:val="19"/>
          <w:szCs w:val="19"/>
        </w:rPr>
        <w:t xml:space="preserve">RESPONDIDO</w:t>
      </w:r>
    </w:p>
    <w:p>
      <w:pPr>
        <w:spacing w:after="160"/>
        <w:jc w:val="both"/>
      </w:pPr>
      <w:r>
        <w:rPr>
          <w:b w:val="false"/>
          <w:bCs w:val="false"/>
          <w:i w:val="false"/>
          <w:iCs w:val="false"/>
        </w:rPr>
        <w:t xml:space="preserve">Se incorporó un análisis de sensibilidad de dos condiciones frente a la referencia (120 s / 12 s), cambiando una sola dimensión a la vez: 140 s / 12 s (longitud) y 120 s / 24 s (paso), en NYU y Peking. Se declara explícitamente por qué no se evaluó una ventana de 60 s: el pasa-banda de ATHENA tiene un límite inferior de 0.009 Hz (periodo ≈111 s; Leonardi &amp; Van De Ville, 2015), y una ventana menor aumentaría el riesgo de fluctuaciones espurias en las correlaciones deslizantes. Ver manuscrito §2.8 y Tabla 5 para el diseño, y §3.3.4 y Tabla 7 para los resultados: en NYU ambas condiciones muestran una diferencia pequeña pero con intervalo que excluye cero; en Peking ninguna lo excluye. Se declara también que cambiar el paso modifica el número de ventanas y, por tanto, el número de parámetros del modelo, así que no se aísla causalmente el efecto del solape.</w:t>
      </w:r>
    </w:p>
    <w:p>
      <w:pPr>
        <w:spacing w:after="40" w:before="320"/>
      </w:pPr>
      <w:r>
        <w:rPr>
          <w:b/>
          <w:bCs/>
          <w:sz w:val="24"/>
          <w:szCs w:val="24"/>
        </w:rPr>
        <w:t xml:space="preserve">R1.2 — Generalización a otros sitios</w:t>
      </w:r>
    </w:p>
    <w:p>
      <w:pPr>
        <w:pBdr>
          <w:left w:val="single" w:color="999999" w:sz="12" w:space="8"/>
        </w:pBdr>
        <w:shd w:fill="F2F2F2" w:val="clear"/>
        <w:spacing w:after="100" w:before="200"/>
        <w:ind w:left="200"/>
      </w:pPr>
      <w:r>
        <w:rPr>
          <w:i/>
          <w:iCs/>
          <w:sz w:val="21"/>
          <w:szCs w:val="21"/>
        </w:rPr>
        <w:t xml:space="preserve">“The study is based on the NYU site data from the ADHD-200 repository. […] the authors should discuss the model's performance on other site data to demonstrate its generalizability.”</w:t>
      </w:r>
    </w:p>
    <w:p>
      <w:pPr>
        <w:spacing w:after="80"/>
      </w:pPr>
      <w:r>
        <w:rPr>
          <w:b/>
          <w:bCs/>
          <w:color w:val="2E7D32"/>
          <w:sz w:val="19"/>
          <w:szCs w:val="19"/>
        </w:rPr>
        <w:t xml:space="preserve">RESPONDIDO</w:t>
      </w:r>
    </w:p>
    <w:p>
      <w:pPr>
        <w:spacing w:after="160"/>
        <w:jc w:val="both"/>
      </w:pPr>
      <w:r>
        <w:rPr>
          <w:b w:val="false"/>
          <w:bCs w:val="false"/>
          <w:i w:val="false"/>
          <w:iCs w:val="false"/>
        </w:rPr>
        <w:t xml:space="preserve">El estudio se amplió de un sitio a cuatro (NYU, Peking, NeuroIMAGE, OHSU), cada uno analizado y reportado por separado (manuscrito §2.2, §3.1, Tabla 6). No se declara transporte entre sitios ni validación externa: cada sitio se entrena y evalúa internamente con su propia validación cruzada. Las estimaciones puntuales difieren en magnitud y dirección entre sitios, tanto por panel de ROIs (Tabla 6) como en los contrastes nuevos (Tabla 7). Los intervalos se solapan ampliamente y el análisis no permite distinguir heterogeneidad real de variabilidad de muestreo, por lo que los sitios se presentan por separado y no se infiere un efecto común.</w:t>
      </w:r>
    </w:p>
    <w:p>
      <w:pPr>
        <w:spacing w:after="40" w:before="320"/>
      </w:pPr>
      <w:r>
        <w:rPr>
          <w:b/>
          <w:bCs/>
          <w:sz w:val="24"/>
          <w:szCs w:val="24"/>
        </w:rPr>
        <w:t xml:space="preserve">R1.3 — Experimentos comparativos con otros métodos</w:t>
      </w:r>
    </w:p>
    <w:p>
      <w:pPr>
        <w:pBdr>
          <w:left w:val="single" w:color="999999" w:sz="12" w:space="8"/>
        </w:pBdr>
        <w:shd w:fill="F2F2F2" w:val="clear"/>
        <w:spacing w:after="100" w:before="200"/>
        <w:ind w:left="200"/>
      </w:pPr>
      <w:r>
        <w:rPr>
          <w:i/>
          <w:iCs/>
          <w:sz w:val="21"/>
          <w:szCs w:val="21"/>
        </w:rPr>
        <w:t xml:space="preserve">“The authors emphasize the advantages of LSTM in capturing temporal dependencies. However, […] comparative experiments with traditional machine learning methods or other deep learning frameworks should be provided.”</w:t>
      </w:r>
    </w:p>
    <w:p>
      <w:pPr>
        <w:spacing w:after="80"/>
      </w:pPr>
      <w:r>
        <w:rPr>
          <w:b/>
          <w:bCs/>
          <w:color w:val="2E7D32"/>
          <w:sz w:val="19"/>
          <w:szCs w:val="19"/>
        </w:rPr>
        <w:t xml:space="preserve">RESPONDIDO (parcial, con alcance declarado)</w:t>
      </w:r>
    </w:p>
    <w:p>
      <w:pPr>
        <w:spacing w:after="160"/>
        <w:jc w:val="both"/>
      </w:pPr>
      <w:r>
        <w:rPr>
          <w:b w:val="false"/>
          <w:bCs w:val="false"/>
          <w:i w:val="false"/>
          <w:iCs w:val="false"/>
        </w:rPr>
        <w:t xml:space="preserve">La arquitectura recurrente de la versión anterior (LSTM-128) se reevaluó bajo el pipeline y la validación corregidos, en NYU y Peking (manuscrito §2.8, §3.3.3, Tabla 7), con la asimetría de capacidad y regularización declarada explícitamente (~99 969 parámetros sin regularización en LSTM-128 frente a 3089–4049 en BrainNetCNN con dropout y L2). No se incorporó un baseline de aprendizaje automático tradicional, por ejemplo una regresión logística: el comentario plantea como alternativas “métodos tradicionales o otros marcos de aprendizaje profundo”, y atendimos la segunda mediante la reevaluación de la LSTM bajo el protocolo corregido. Esta ausencia queda declarada de forma explícita en el manuscrito, en el apartado «Dimensiones no evaluadas» de §2.8. Si el editor lo solicita explícitamente, se preparará un protocolo específico con penalización preespecificada y estandarización ajustada exclusivamente dentro de cada fold, para evitar una búsqueda adicional de hiperparámetros.</w:t>
      </w:r>
    </w:p>
    <w:p>
      <w:pPr>
        <w:spacing w:after="40" w:before="320"/>
      </w:pPr>
      <w:r>
        <w:rPr>
          <w:b/>
          <w:bCs/>
          <w:sz w:val="24"/>
          <w:szCs w:val="24"/>
        </w:rPr>
        <w:t xml:space="preserve">R1.4 — Visualizaciones adicionales (curvas de entrenamiento)</w:t>
      </w:r>
    </w:p>
    <w:p>
      <w:pPr>
        <w:pBdr>
          <w:left w:val="single" w:color="999999" w:sz="12" w:space="8"/>
        </w:pBdr>
        <w:shd w:fill="F2F2F2" w:val="clear"/>
        <w:spacing w:after="100" w:before="200"/>
        <w:ind w:left="200"/>
      </w:pPr>
      <w:r>
        <w:rPr>
          <w:i/>
          <w:iCs/>
          <w:sz w:val="21"/>
          <w:szCs w:val="21"/>
        </w:rPr>
        <w:t xml:space="preserve">“It is recommended to include training loss curves and accuracy plots to demonstrate that the model did not suffer from overfitting.”</w:t>
      </w:r>
    </w:p>
    <w:p>
      <w:pPr>
        <w:spacing w:after="80"/>
      </w:pPr>
      <w:r>
        <w:rPr>
          <w:b/>
          <w:bCs/>
          <w:color w:val="2E7D32"/>
          <w:sz w:val="19"/>
          <w:szCs w:val="19"/>
        </w:rPr>
        <w:t xml:space="preserve">RESPONDIDO</w:t>
      </w:r>
    </w:p>
    <w:p>
      <w:pPr>
        <w:spacing w:after="160"/>
        <w:jc w:val="both"/>
      </w:pPr>
      <w:r>
        <w:rPr>
          <w:b w:val="false"/>
          <w:bCs w:val="false"/>
          <w:i w:val="false"/>
          <w:iCs w:val="false"/>
        </w:rPr>
        <w:t xml:space="preserve">Se incorporaron al texto principal. La Figura 3 del manuscrito presenta, para los cuatro sitios, la curva de entropía cruzada (panel a) y la de exactitud (panel b) por época, con la mediana y el rango intercuartílico sobre los 50 pliegues, y distinguiendo el conjunto de ajuste de la partición interna de validación. El texto de §3.4 advierte además de un punto que podría inducir a error: la pérdida de entrenamiento se sitúa por encima de la de validación porque se registra con el dropout activo (0.7 y 0.6), mientras que la de validación se evalúa en modo inferencia. La comparación válida para juzgar el sobreajuste es la que enfrenta la partición exterior de entrenamiento con las predicciones fuera de pliegue, ambas evaluadas en modo inferencia; esa tabla es la Tabla S1 del material suplementario y revela brechas de entre 9 y 40 puntos de AUC.</w:t>
      </w:r>
    </w:p>
    <w:p>
      <w:pPr>
        <w:pStyle w:val="Heading1"/>
        <w:spacing w:after="180" w:before="360"/>
      </w:pPr>
      <w:r>
        <w:t xml:space="preserve">Reviewer #2</w:t>
      </w:r>
    </w:p>
    <w:p>
      <w:pPr>
        <w:spacing w:after="40" w:before="320"/>
      </w:pPr>
      <w:r>
        <w:rPr>
          <w:b/>
          <w:bCs/>
          <w:sz w:val="24"/>
          <w:szCs w:val="24"/>
        </w:rPr>
        <w:t xml:space="preserve">R2.1 — Actualizar la revisión de literatura con trabajos de 2026</w:t>
      </w:r>
    </w:p>
    <w:p>
      <w:pPr>
        <w:pBdr>
          <w:left w:val="single" w:color="999999" w:sz="12" w:space="8"/>
        </w:pBdr>
        <w:shd w:fill="F2F2F2" w:val="clear"/>
        <w:spacing w:after="100" w:before="200"/>
        <w:ind w:left="200"/>
      </w:pPr>
      <w:r>
        <w:rPr>
          <w:i/>
          <w:iCs/>
          <w:sz w:val="21"/>
          <w:szCs w:val="21"/>
        </w:rPr>
        <w:t xml:space="preserve">“The related work does not include any recent papers published in 2026. I recommend updating the literature review […]”</w:t>
      </w:r>
    </w:p>
    <w:p>
      <w:pPr>
        <w:spacing w:after="80"/>
      </w:pPr>
      <w:r>
        <w:rPr>
          <w:b/>
          <w:bCs/>
          <w:color w:val="B26A00"/>
          <w:sz w:val="19"/>
          <w:szCs w:val="19"/>
        </w:rPr>
        <w:t xml:space="preserve">PENDIENTE</w:t>
      </w:r>
    </w:p>
    <w:p>
      <w:pPr>
        <w:spacing w:after="160"/>
        <w:jc w:val="both"/>
      </w:pPr>
      <w:r>
        <w:rPr>
          <w:b w:val="false"/>
          <w:bCs w:val="false"/>
          <w:i w:val="false"/>
          <w:iCs w:val="false"/>
        </w:rPr>
        <w:t xml:space="preserve">Corresponde a la Introducción, no redactada en esta etapa (ver nota de alcance al inicio del manuscrito). Un subgrupo del equipo trabaja específicamente en la actualización de la revisión de literatura; sus resultados se incorporarán cuando se redacte esa sección.</w:t>
      </w:r>
    </w:p>
    <w:p>
      <w:pPr>
        <w:spacing w:after="40" w:before="320"/>
      </w:pPr>
      <w:r>
        <w:rPr>
          <w:b/>
          <w:bCs/>
          <w:sz w:val="24"/>
          <w:szCs w:val="24"/>
        </w:rPr>
        <w:t xml:space="preserve">R2.2 — Comparación directa SFC frente a dFC</w:t>
      </w:r>
    </w:p>
    <w:p>
      <w:pPr>
        <w:pBdr>
          <w:left w:val="single" w:color="999999" w:sz="12" w:space="8"/>
        </w:pBdr>
        <w:shd w:fill="F2F2F2" w:val="clear"/>
        <w:spacing w:after="100" w:before="200"/>
        <w:ind w:left="200"/>
      </w:pPr>
      <w:r>
        <w:rPr>
          <w:i/>
          <w:iCs/>
          <w:sz w:val="21"/>
          <w:szCs w:val="21"/>
        </w:rPr>
        <w:t xml:space="preserve">“The paper claims that dynamic functional connectivity (dFC) is more suitable than static functional connectivity. However, there is no direct comparison between SFC + LSTM and dFC + LSTM.”</w:t>
      </w:r>
    </w:p>
    <w:p>
      <w:pPr>
        <w:spacing w:after="80"/>
      </w:pPr>
      <w:r>
        <w:rPr>
          <w:b/>
          <w:bCs/>
          <w:color w:val="2E7D32"/>
          <w:sz w:val="19"/>
          <w:szCs w:val="19"/>
        </w:rPr>
        <w:t xml:space="preserve">RESPONDIDO (con cambio de alcance declarado)</w:t>
      </w:r>
    </w:p>
    <w:p>
      <w:pPr>
        <w:spacing w:after="160"/>
        <w:jc w:val="both"/>
      </w:pPr>
      <w:r>
        <w:rPr>
          <w:b w:val="false"/>
          <w:bCs w:val="false"/>
          <w:i w:val="false"/>
          <w:iCs w:val="false"/>
        </w:rPr>
        <w:t xml:space="preserve">Se incorporó el contraste directo static (una única matriz de Pearson por sujeto) frente a ordered (multicanal por ventanas), en los cuatro sitios, con BrainNetCNN —la arquitectura principal de esta versión— y no con LSTM (manuscrito §2.8, §3.3.2, Tabla 7). La reevaluación de LSTM se mantiene como un contraste arquitectónico separado (§3.3.3, ver R1.3/R2.9). Reconocemos que estos dos contrastes por separado no reproducen el diseño factorial completo que el comentario sugiere, en el que se cruzarían representación y arquitectura: el estudio compara conectividad estática frente a multicanal con BrainNetCNN, y BrainNetCNN frente a LSTM con la representación multicanal, pero no evalúa la combinación de conectividad estática con LSTM. El alcance real del contraste es, por tanto, el efecto de cada decisión por separado sobre la configuración de referencia. Se declara que este contraste compara dos procedimientos completos, incluida una diferencia de capacidad del modelo, no solo el componente dinámico de la representación.</w:t>
      </w:r>
    </w:p>
    <w:p>
      <w:pPr>
        <w:spacing w:after="40" w:before="320"/>
      </w:pPr>
      <w:r>
        <w:rPr>
          <w:b/>
          <w:bCs/>
          <w:sz w:val="24"/>
          <w:szCs w:val="24"/>
        </w:rPr>
        <w:t xml:space="preserve">R2.4 — Sitios adicionales o cohorte independiente</w:t>
      </w:r>
    </w:p>
    <w:p>
      <w:pPr>
        <w:pBdr>
          <w:left w:val="single" w:color="999999" w:sz="12" w:space="8"/>
        </w:pBdr>
        <w:shd w:fill="F2F2F2" w:val="clear"/>
        <w:spacing w:after="100" w:before="200"/>
        <w:ind w:left="200"/>
      </w:pPr>
      <w:r>
        <w:rPr>
          <w:i/>
          <w:iCs/>
          <w:sz w:val="21"/>
          <w:szCs w:val="21"/>
        </w:rPr>
        <w:t xml:space="preserve">“The experiments are conducted only on the NYU subset. […] Testing on additional sites or another independent dataset would provide stronger evidence.”</w:t>
      </w:r>
    </w:p>
    <w:p>
      <w:pPr>
        <w:spacing w:after="80"/>
      </w:pPr>
      <w:r>
        <w:rPr>
          <w:b/>
          <w:bCs/>
          <w:color w:val="2E7D32"/>
          <w:sz w:val="19"/>
          <w:szCs w:val="19"/>
        </w:rPr>
        <w:t xml:space="preserve">RESPONDIDO</w:t>
      </w:r>
    </w:p>
    <w:p>
      <w:pPr>
        <w:spacing w:after="160"/>
        <w:jc w:val="both"/>
      </w:pPr>
      <w:r>
        <w:rPr>
          <w:b w:val="false"/>
          <w:bCs w:val="false"/>
          <w:i w:val="false"/>
          <w:iCs w:val="false"/>
        </w:rPr>
        <w:t xml:space="preserve">Igual que R1.2: cuatro sitios de ADHD-200 analizados por separado (manuscrito §2.2, §3.1). No se dispuso de una cohorte verdaderamente independiente (no usada en ninguna decisión de este estudio); esa limitación se declara de forma explícita y se identifica como condición necesaria para cualquier conclusión confirmatoria (ver Discusión, pendiente).</w:t>
      </w:r>
    </w:p>
    <w:p>
      <w:pPr>
        <w:spacing w:after="40" w:before="320"/>
      </w:pPr>
      <w:r>
        <w:rPr>
          <w:b/>
          <w:bCs/>
          <w:sz w:val="24"/>
          <w:szCs w:val="24"/>
        </w:rPr>
        <w:t xml:space="preserve">R2.5 — Protocolo de validación cruzada: ¿anidada? ¿datos nunca usados en ajuste?</w:t>
      </w:r>
    </w:p>
    <w:p>
      <w:pPr>
        <w:pBdr>
          <w:left w:val="single" w:color="999999" w:sz="12" w:space="8"/>
        </w:pBdr>
        <w:shd w:fill="F2F2F2" w:val="clear"/>
        <w:spacing w:after="100" w:before="200"/>
        <w:ind w:left="200"/>
      </w:pPr>
      <w:r>
        <w:rPr>
          <w:i/>
          <w:iCs/>
          <w:sz w:val="21"/>
          <w:szCs w:val="21"/>
        </w:rPr>
        <w:t xml:space="preserve">“The cross-validation protocol is not clearly described. Is this a standard stratified cross-validation or a nested cross-validation? […] were the reported results obtained on data that were never used during training or hyperparameter tuning?”</w:t>
      </w:r>
    </w:p>
    <w:p>
      <w:pPr>
        <w:spacing w:after="80"/>
      </w:pPr>
      <w:r>
        <w:rPr>
          <w:b/>
          <w:bCs/>
          <w:color w:val="2E7D32"/>
          <w:sz w:val="19"/>
          <w:szCs w:val="19"/>
        </w:rPr>
        <w:t xml:space="preserve">RESPONDIDO</w:t>
      </w:r>
    </w:p>
    <w:p>
      <w:pPr>
        <w:spacing w:after="160"/>
        <w:jc w:val="both"/>
      </w:pPr>
      <w:r>
        <w:rPr>
          <w:b w:val="false"/>
          <w:bCs w:val="false"/>
          <w:i w:val="false"/>
          <w:iCs w:val="false"/>
        </w:rPr>
        <w:t xml:space="preserve">El protocolo se describe con precisión en el manuscrito §2.7: validación cruzada estratificada repetida, bucle exterior de 10 pliegues × 5 repeticiones, partición interna del 15 % para la parada temprana, sin búsqueda de hiperparámetros dentro de cada pliegue exterior — por lo que no se le llama validación cruzada anidada completa. Sobre la segunda pregunta, la respuesta se da por sitio, no en bloque, en el manuscrito §2.6: la configuración de BrainNetCNN se ajustó observando resultados de NYU con 12 ROIs (documentado en results/README.md, sección «Historial: NYU, 12 ROIs»), por lo que el desempeño de ese sitio y panel puede tener sesgo optimista de magnitud desconocida. El riesgo de optimismo es directo y mayor para NYU con 12 ROIs. Las demás estimaciones de NYU tampoco pueden considerarse completamente ajenas al proceso de desarrollo del sitio. En Peking, NeuroIMAGE y OHSU se aplicó la configuración congelada, aunque su desempeño sigue correspondiendo a validación cruzada interna y no a una cohorte retenida independiente.</w:t>
      </w:r>
    </w:p>
    <w:p>
      <w:pPr>
        <w:spacing w:after="40" w:before="320"/>
      </w:pPr>
      <w:r>
        <w:rPr>
          <w:b/>
          <w:bCs/>
          <w:sz w:val="24"/>
          <w:szCs w:val="24"/>
        </w:rPr>
        <w:t xml:space="preserve">R2.6 — Partición por sujeto o por ventana; riesgo de fuga</w:t>
      </w:r>
    </w:p>
    <w:p>
      <w:pPr>
        <w:pBdr>
          <w:left w:val="single" w:color="999999" w:sz="12" w:space="8"/>
        </w:pBdr>
        <w:shd w:fill="F2F2F2" w:val="clear"/>
        <w:spacing w:after="100" w:before="200"/>
        <w:ind w:left="200"/>
      </w:pPr>
      <w:r>
        <w:rPr>
          <w:i/>
          <w:iCs/>
          <w:sz w:val="21"/>
          <w:szCs w:val="21"/>
        </w:rPr>
        <w:t xml:space="preserve">“It is not clear whether the data split was performed by subject or by sliding window. If windows from the same subject appear in both the training and validation sets, there may be a risk of data leakage.”</w:t>
      </w:r>
    </w:p>
    <w:p>
      <w:pPr>
        <w:spacing w:after="80"/>
      </w:pPr>
      <w:r>
        <w:rPr>
          <w:b/>
          <w:bCs/>
          <w:color w:val="2E7D32"/>
          <w:sz w:val="19"/>
          <w:szCs w:val="19"/>
        </w:rPr>
        <w:t xml:space="preserve">RESPONDIDO</w:t>
      </w:r>
    </w:p>
    <w:p>
      <w:pPr>
        <w:spacing w:after="160"/>
        <w:jc w:val="both"/>
      </w:pPr>
      <w:r>
        <w:rPr>
          <w:b w:val="false"/>
          <w:bCs w:val="false"/>
          <w:i w:val="false"/>
          <w:iCs w:val="false"/>
        </w:rPr>
        <w:t xml:space="preserve">La partición es por sujeto: todas las ventanas de un sujeto permanecen en la misma partición (manuscrito §2.7). La auditoría de comparabilidad del pipeline oficial (comparability_audit.csv) verifica, para las 16 corridas base, identidad de sujetos entre paneles, folds.csv idéntico dentro de cada sitio y ausencia de duplicados; se extenderá a las diez corridas nuevas antes del envío.</w:t>
      </w:r>
    </w:p>
    <w:p>
      <w:pPr>
        <w:spacing w:after="40" w:before="320"/>
      </w:pPr>
      <w:r>
        <w:rPr>
          <w:b/>
          <w:bCs/>
          <w:sz w:val="24"/>
          <w:szCs w:val="24"/>
        </w:rPr>
        <w:t xml:space="preserve">R2.7 — Comparación con estudios recientes (2025–2026) sobre el mismo conjunto de datos</w:t>
      </w:r>
    </w:p>
    <w:p>
      <w:pPr>
        <w:pBdr>
          <w:left w:val="single" w:color="999999" w:sz="12" w:space="8"/>
        </w:pBdr>
        <w:shd w:fill="F2F2F2" w:val="clear"/>
        <w:spacing w:after="100" w:before="200"/>
        <w:ind w:left="200"/>
      </w:pPr>
      <w:r>
        <w:rPr>
          <w:i/>
          <w:iCs/>
          <w:sz w:val="21"/>
          <w:szCs w:val="21"/>
        </w:rPr>
        <w:t xml:space="preserve">“The paper does not compare the proposed approach with recent studies on the same dataset. […]”</w:t>
      </w:r>
    </w:p>
    <w:p>
      <w:pPr>
        <w:spacing w:after="80"/>
      </w:pPr>
      <w:r>
        <w:rPr>
          <w:b/>
          <w:bCs/>
          <w:color w:val="B26A00"/>
          <w:sz w:val="19"/>
          <w:szCs w:val="19"/>
        </w:rPr>
        <w:t xml:space="preserve">PENDIENTE</w:t>
      </w:r>
    </w:p>
    <w:p>
      <w:pPr>
        <w:spacing w:after="160"/>
        <w:jc w:val="both"/>
      </w:pPr>
      <w:r>
        <w:rPr>
          <w:b w:val="false"/>
          <w:bCs w:val="false"/>
          <w:i w:val="false"/>
          <w:iCs w:val="false"/>
        </w:rPr>
        <w:t xml:space="preserve">Al igual que R2.1, corresponde a la revisión de literatura y a la Discusión, y está a cargo del subgrupo de literatura del equipo. La tabla comparativa incluirá una columna que distinga validación cruzada de conjunto retenido, para que la comparación de AUC frente a exactitudes publicadas no resulte engañosa en contra de este estudio.</w:t>
      </w:r>
    </w:p>
    <w:p>
      <w:pPr>
        <w:spacing w:after="40" w:before="320"/>
      </w:pPr>
      <w:r>
        <w:rPr>
          <w:b/>
          <w:bCs/>
          <w:sz w:val="24"/>
          <w:szCs w:val="24"/>
        </w:rPr>
        <w:t xml:space="preserve">R2.8 — Claridad de la contribución frente a trabajo previo</w:t>
      </w:r>
    </w:p>
    <w:p>
      <w:pPr>
        <w:pBdr>
          <w:left w:val="single" w:color="999999" w:sz="12" w:space="8"/>
        </w:pBdr>
        <w:shd w:fill="F2F2F2" w:val="clear"/>
        <w:spacing w:after="100" w:before="200"/>
        <w:ind w:left="200"/>
      </w:pPr>
      <w:r>
        <w:rPr>
          <w:i/>
          <w:iCs/>
          <w:sz w:val="21"/>
          <w:szCs w:val="21"/>
        </w:rPr>
        <w:t xml:space="preserve">“The contribution compared with previous studies should be stated more clearly. What is the main novelty of this work […]?”</w:t>
      </w:r>
    </w:p>
    <w:p>
      <w:pPr>
        <w:spacing w:after="80"/>
      </w:pPr>
      <w:r>
        <w:rPr>
          <w:b/>
          <w:bCs/>
          <w:color w:val="B26A00"/>
          <w:sz w:val="19"/>
          <w:szCs w:val="19"/>
        </w:rPr>
        <w:t xml:space="preserve">PENDIENTE (formulación ya acordada)</w:t>
      </w:r>
    </w:p>
    <w:p>
      <w:pPr>
        <w:spacing w:after="160"/>
        <w:jc w:val="both"/>
      </w:pPr>
      <w:r>
        <w:rPr>
          <w:b w:val="false"/>
          <w:bCs w:val="false"/>
          <w:i w:val="false"/>
          <w:iCs w:val="false"/>
        </w:rPr>
        <w:t xml:space="preserve">Corresponde al Resumen/Introducción/Discusión, no redactados en esta etapa. La formulación ya acordada por el equipo, que se usará como base: «El estudio aporta una evaluación multisitio de paneles anatómicos preespecificados bajo un protocolo que mantiene juntas todas las observaciones de cada sujeto, produce predicciones OOF y cuantifica la incertidumbre por sitio. Su contribución es metodológica y comparativa, no una mejora de exactitud ni una validación clínica.»</w:t>
      </w:r>
    </w:p>
    <w:p>
      <w:pPr>
        <w:spacing w:after="40" w:before="320"/>
      </w:pPr>
      <w:r>
        <w:rPr>
          <w:b/>
          <w:bCs/>
          <w:sz w:val="24"/>
          <w:szCs w:val="24"/>
        </w:rPr>
        <w:t xml:space="preserve">R2.9 — ¿Por qué LSTM? Comparar con GRU o Transformer</w:t>
      </w:r>
    </w:p>
    <w:p>
      <w:pPr>
        <w:pBdr>
          <w:left w:val="single" w:color="999999" w:sz="12" w:space="8"/>
        </w:pBdr>
        <w:shd w:fill="F2F2F2" w:val="clear"/>
        <w:spacing w:after="100" w:before="200"/>
        <w:ind w:left="200"/>
      </w:pPr>
      <w:r>
        <w:rPr>
          <w:i/>
          <w:iCs/>
          <w:sz w:val="21"/>
          <w:szCs w:val="21"/>
        </w:rPr>
        <w:t xml:space="preserve">“Why was LSTM selected? It would be interesting to compare it with other sequence models such as GRU or Transformer architectures.”</w:t>
      </w:r>
    </w:p>
    <w:p>
      <w:pPr>
        <w:spacing w:after="80"/>
      </w:pPr>
      <w:r>
        <w:rPr>
          <w:b/>
          <w:bCs/>
          <w:color w:val="2E7D32"/>
          <w:sz w:val="19"/>
          <w:szCs w:val="19"/>
        </w:rPr>
        <w:t xml:space="preserve">RESPONDIDO (con alcance declarado)</w:t>
      </w:r>
    </w:p>
    <w:p>
      <w:pPr>
        <w:spacing w:after="160"/>
        <w:jc w:val="both"/>
      </w:pPr>
      <w:r>
        <w:rPr>
          <w:b w:val="false"/>
          <w:bCs w:val="false"/>
          <w:i w:val="false"/>
          <w:iCs w:val="false"/>
        </w:rPr>
        <w:t xml:space="preserve">La arquitectura principal de esta versión ya no es LSTM sino BrainNetCNN (manuscrito §2.6); LSTM-128 se reevalúa como contraste arquitectónico en §3.3.3. GRU y Transformer están implementados en el repositorio pero no se incluyeron en esta campaña: ampliarían el alcance, la multiplicidad y el número de resultados que deben interpretarse, y con la precisión observada, diferencias modestas probablemente producirían intervalos amplios. Se declaran explícitamente como trabajo futuro en el apartado «Dimensiones no evaluadas» de §2.8.</w:t>
      </w:r>
    </w:p>
    <w:p>
      <w:pPr>
        <w:spacing w:after="40" w:before="320"/>
      </w:pPr>
      <w:r>
        <w:rPr>
          <w:b/>
          <w:bCs/>
          <w:sz w:val="24"/>
          <w:szCs w:val="24"/>
        </w:rPr>
        <w:t xml:space="preserve">R2.10 — Impacto del tamaño de ventana y del paso</w:t>
      </w:r>
    </w:p>
    <w:p>
      <w:pPr>
        <w:pBdr>
          <w:left w:val="single" w:color="999999" w:sz="12" w:space="8"/>
        </w:pBdr>
        <w:shd w:fill="F2F2F2" w:val="clear"/>
        <w:spacing w:after="100" w:before="200"/>
        <w:ind w:left="200"/>
      </w:pPr>
      <w:r>
        <w:rPr>
          <w:i/>
          <w:iCs/>
          <w:sz w:val="21"/>
          <w:szCs w:val="21"/>
        </w:rPr>
        <w:t xml:space="preserve">“The proposed method relies on a sliding-window approach, but the impact of the window size (and possibly the step size) is not discussed. An ablation or sensitivity analysis would strengthen the experimental study.”</w:t>
      </w:r>
    </w:p>
    <w:p>
      <w:pPr>
        <w:spacing w:after="80"/>
      </w:pPr>
      <w:r>
        <w:rPr>
          <w:b/>
          <w:bCs/>
          <w:color w:val="2E7D32"/>
          <w:sz w:val="19"/>
          <w:szCs w:val="19"/>
        </w:rPr>
        <w:t xml:space="preserve">RESPONDIDO</w:t>
      </w:r>
    </w:p>
    <w:p>
      <w:pPr>
        <w:spacing w:after="160"/>
        <w:jc w:val="both"/>
      </w:pPr>
      <w:r>
        <w:rPr>
          <w:b w:val="false"/>
          <w:bCs w:val="false"/>
          <w:i w:val="false"/>
          <w:iCs w:val="false"/>
        </w:rPr>
        <w:t xml:space="preserve">Igual que R1.1: análisis de sensibilidad de dos condiciones en NYU y Peking (manuscrito §2.8, §3.3.4, Tabla 7), con el confundido entre paso y número de parámetros declarado explícitamente.</w:t>
      </w:r>
    </w:p>
    <w:p>
      <w:pPr>
        <w:spacing w:after="40" w:before="320"/>
      </w:pPr>
      <w:r>
        <w:rPr>
          <w:b/>
          <w:bCs/>
          <w:sz w:val="24"/>
          <w:szCs w:val="24"/>
        </w:rPr>
        <w:t xml:space="preserve">R2.11 — Matrices de confusión, curvas ROC, curvas de convergencia y de aprendizaje</w:t>
      </w:r>
    </w:p>
    <w:p>
      <w:pPr>
        <w:pBdr>
          <w:left w:val="single" w:color="999999" w:sz="12" w:space="8"/>
        </w:pBdr>
        <w:shd w:fill="F2F2F2" w:val="clear"/>
        <w:spacing w:after="100" w:before="200"/>
        <w:ind w:left="200"/>
      </w:pPr>
      <w:r>
        <w:rPr>
          <w:i/>
          <w:iCs/>
          <w:sz w:val="21"/>
          <w:szCs w:val="21"/>
        </w:rPr>
        <w:t xml:space="preserve">“I would also like to see the confusion matrices, ROC curves, training/validation convergence curves (loss and accuracy), and possibly the learning curves.”</w:t>
      </w:r>
    </w:p>
    <w:p>
      <w:pPr>
        <w:spacing w:after="80"/>
      </w:pPr>
      <w:r>
        <w:rPr>
          <w:b/>
          <w:bCs/>
          <w:color w:val="2E7D32"/>
          <w:sz w:val="19"/>
          <w:szCs w:val="19"/>
        </w:rPr>
        <w:t xml:space="preserve">RESPONDIDO (parcial, con ubicación declarada)</w:t>
      </w:r>
    </w:p>
    <w:p>
      <w:pPr>
        <w:spacing w:after="160"/>
        <w:jc w:val="both"/>
      </w:pPr>
      <w:r>
        <w:rPr>
          <w:b w:val="false"/>
          <w:bCs w:val="false"/>
          <w:i w:val="false"/>
          <w:iCs w:val="false"/>
        </w:rPr>
        <w:t xml:space="preserve">Tres de los cuatro elementos están en el texto principal. Las curvas de convergencia de pérdida y exactitud son los paneles a y b de la Figura 3. Las curvas ROC son el panel c: se presenta una curva por cada una de las cinco repeticiones, y no una sola curva construida apilando las predicciones como si los sujetos fueran independientes, porque cada sujeto tiene cinco predicciones fuera de pliegue. Cada panel anota además el AUC medio, que coincide con la fila de validación de la Tabla 6.</w:t>
      </w:r>
    </w:p>
    <w:p>
      <w:pPr>
        <w:spacing w:after="160"/>
        <w:jc w:val="both"/>
      </w:pPr>
      <w:r>
        <w:rPr>
          <w:b w:val="false"/>
          <w:bCs w:val="false"/>
          <w:i w:val="false"/>
          <w:iCs w:val="false"/>
        </w:rPr>
        <w:t xml:space="preserve">Las matrices de confusión pasan al material suplementario, con umbral fijo de 0.5 indicado en el pie y sin optimizarlo sobre las mismas observaciones evaluadas; sus dos cantidades derivadas, sensibilidad y especificidad, ya figuran en la Tabla 6 para las dieciséis combinaciones de sitio y panel. Las curvas de aprendizaje por submuestreo del tamaño muestral se declinan, y el manuscrito lo declara en §2.8: con muestras de 39 a 183 sujetos, el submuestreo añadiría varianza sin permitir estimar la pendiente de forma fiable, de modo que el escalamiento con más datos queda sin evaluar.</w:t>
      </w:r>
    </w:p>
    <w:p>
      <w:pPr>
        <w:spacing w:after="40" w:before="320"/>
      </w:pPr>
      <w:r>
        <w:rPr>
          <w:b/>
          <w:bCs/>
          <w:sz w:val="24"/>
          <w:szCs w:val="24"/>
        </w:rPr>
        <w:t xml:space="preserve">R2.12 — Proceso de selección de ROIs y repetición dentro de cada fold</w:t>
      </w:r>
    </w:p>
    <w:p>
      <w:pPr>
        <w:pBdr>
          <w:left w:val="single" w:color="999999" w:sz="12" w:space="8"/>
        </w:pBdr>
        <w:shd w:fill="F2F2F2" w:val="clear"/>
        <w:spacing w:after="100" w:before="200"/>
        <w:ind w:left="200"/>
      </w:pPr>
      <w:r>
        <w:rPr>
          <w:i/>
          <w:iCs/>
          <w:sz w:val="21"/>
          <w:szCs w:val="21"/>
        </w:rPr>
        <w:t xml:space="preserve">“The study shows that 12 ROIs achieve the best generalization performance. However, it would be useful to explain more clearly how these ROIs were selected and whether this selection was repeated inside each cross-validation fold to avoid any possible bias.”</w:t>
      </w:r>
    </w:p>
    <w:p>
      <w:pPr>
        <w:spacing w:after="80"/>
      </w:pPr>
      <w:r>
        <w:rPr>
          <w:b/>
          <w:bCs/>
          <w:color w:val="2E7D32"/>
          <w:sz w:val="19"/>
          <w:szCs w:val="19"/>
        </w:rPr>
        <w:t xml:space="preserve">RESPONDIDO (con corrección declarada)</w:t>
      </w:r>
    </w:p>
    <w:p>
      <w:pPr>
        <w:spacing w:after="160"/>
        <w:jc w:val="both"/>
      </w:pPr>
      <w:r>
        <w:rPr>
          <w:b w:val="false"/>
          <w:bCs w:val="false"/>
          <w:i w:val="false"/>
          <w:iCs w:val="false"/>
        </w:rPr>
        <w:t xml:space="preserve">Se retira la descripción de un análisis de ablación descendente guiado por desempeño, que era inexacta. Los cuatro paneles de ROIs (12, 18, 39, 116) son anatómicos y preespecificados: fueron seleccionados por especialistas en neurociencia a partir de revisión de literatura, antes de entrenar ningún modelo (manuscrito §2.4, Tabla 2 y Figura 1). Como no hay selección supervisada de regiones dentro del pipeline, no existe un paso de selección que deba repetirse dentro de cada fold — la pregunta del revisor queda resuelta por el cambio de diseño, no por una repetición adicional. La carta de envío declarará explícitamente esta corrección frente a la versión anterior del manuscrito.</w:t>
      </w:r>
    </w:p>
    <w:p>
      <w:pPr>
        <w:spacing w:after="40" w:before="320"/>
      </w:pPr>
      <w:r>
        <w:rPr>
          <w:b/>
          <w:bCs/>
          <w:sz w:val="24"/>
          <w:szCs w:val="24"/>
        </w:rPr>
        <w:t xml:space="preserve">R2.13 — Extender el análisis estadístico con una prueba post-hoc (Tukey)</w:t>
      </w:r>
    </w:p>
    <w:p>
      <w:pPr>
        <w:pBdr>
          <w:left w:val="single" w:color="999999" w:sz="12" w:space="8"/>
        </w:pBdr>
        <w:shd w:fill="F2F2F2" w:val="clear"/>
        <w:spacing w:after="100" w:before="200"/>
        <w:ind w:left="200"/>
      </w:pPr>
      <w:r>
        <w:rPr>
          <w:i/>
          <w:iCs/>
          <w:sz w:val="21"/>
          <w:szCs w:val="21"/>
        </w:rPr>
        <w:t xml:space="preserve">“Although the ANOVA shows a significant difference, a post-hoc test (e.g., Tukey HSD) would identify which ROI groups differ significantly from each other.”</w:t>
      </w:r>
    </w:p>
    <w:p>
      <w:pPr>
        <w:spacing w:after="80"/>
      </w:pPr>
      <w:r>
        <w:rPr>
          <w:b/>
          <w:bCs/>
          <w:color w:val="2E7D32"/>
          <w:sz w:val="19"/>
          <w:szCs w:val="19"/>
        </w:rPr>
        <w:t xml:space="preserve">RESPONDIDO (se declina, con sustituto)</w:t>
      </w:r>
    </w:p>
    <w:p>
      <w:pPr>
        <w:spacing w:after="160"/>
        <w:jc w:val="both"/>
      </w:pPr>
      <w:r>
        <w:rPr>
          <w:b w:val="false"/>
          <w:bCs w:val="false"/>
          <w:i w:val="false"/>
          <w:iCs w:val="false"/>
        </w:rPr>
        <w:t xml:space="preserve">La versión anterior del manuscrito reportaba tanto el ANOVA como el análisis post-hoc de Tukey sobre los valores de exactitud en validación. Ambos se retiran en esta versión. Los pliegues y las repeticiones de la validación cruzada comparten sujetos y conjuntos de entrenamiento, de modo que no constituyen observaciones independientes; el ANOVA no cumple ese supuesto y una prueba post-hoc aplicada sobre él heredaría el mismo problema en lugar de resolverlo. En su lugar, el manuscrito adopta un procedimiento que sí respeta la dependencia entre pliegues: diferencias pareadas a nivel de sujeto sobre las predicciones fuera de pliegue, con remuestreo bootstrap estratificado dentro de cada sitio (manuscrito §2.7, aplicado en §3.1–§3.3). Se retiró el ANOVA y no se añadió la prueba post-hoc. Es el único comentario que se declina en lugar de implementarse, y así se declara de forma explícita en la carta de envío.</w:t>
      </w:r>
    </w:p>
    <w:p>
      <w:pPr>
        <w:spacing w:after="40" w:before="320"/>
      </w:pPr>
      <w:r>
        <w:rPr>
          <w:b/>
          <w:bCs/>
          <w:sz w:val="24"/>
          <w:szCs w:val="24"/>
        </w:rPr>
        <w:t xml:space="preserve">R2.14 — Conclusión sobreestimada; moderar la aplicabilidad clínica; ampliar trabajo futuro</w:t>
      </w:r>
    </w:p>
    <w:p>
      <w:pPr>
        <w:pBdr>
          <w:left w:val="single" w:color="999999" w:sz="12" w:space="8"/>
        </w:pBdr>
        <w:shd w:fill="F2F2F2" w:val="clear"/>
        <w:spacing w:after="100" w:before="200"/>
        <w:ind w:left="200"/>
      </w:pPr>
      <w:r>
        <w:rPr>
          <w:i/>
          <w:iCs/>
          <w:sz w:val="21"/>
          <w:szCs w:val="21"/>
        </w:rPr>
        <w:t xml:space="preserve">“The conclusion is slightly overstated. […] The future work could also be expanded by including additional experiments on different brain atlases, window sizes, and more recent sequence models.”</w:t>
      </w:r>
    </w:p>
    <w:p>
      <w:pPr>
        <w:spacing w:after="80"/>
      </w:pPr>
      <w:r>
        <w:rPr>
          <w:b/>
          <w:bCs/>
          <w:color w:val="B26A00"/>
          <w:sz w:val="19"/>
          <w:szCs w:val="19"/>
        </w:rPr>
        <w:t xml:space="preserve">PENDIENTE (parcialmente resuelto)</w:t>
      </w:r>
    </w:p>
    <w:p>
      <w:pPr>
        <w:spacing w:after="160"/>
        <w:jc w:val="both"/>
      </w:pPr>
      <w:r>
        <w:rPr>
          <w:b w:val="false"/>
          <w:bCs w:val="false"/>
          <w:i w:val="false"/>
          <w:iCs w:val="false"/>
        </w:rPr>
        <w:t xml:space="preserve">La moderación del lenguaje clínico y de las Conclusiones corresponde a un bloque no redactado en esta etapa; el equipo ya acordó las sustituciones obligatorias (p. ej. «diagnóstico» → «clasificación experimental», «validación externa» → «evaluación interna en múltiples sitios», sin afirmaciones de optimalidad o ganador) para aplicarlas allí. Sobre trabajo futuro, ya queda ampliado y concretado en el apartado «Dimensiones no evaluadas» de §2.8, que enumera cuatro direcciones con su razón: baseline lineal, arquitecturas GRU y Transformer, curvas de aprendizaje por tamaño muestral y atlas alternativos.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2026-08-02T22:01:54.136Z</dcterms:created>
  <dcterms:modified xsi:type="dcterms:W3CDTF">2026-08-02T22:01:54.136Z</dcterms:modified>
</cp:coreProperties>
</file>

<file path=docProps/custom.xml><?xml version="1.0" encoding="utf-8"?>
<Properties xmlns="http://schemas.openxmlformats.org/officeDocument/2006/custom-properties" xmlns:vt="http://schemas.openxmlformats.org/officeDocument/2006/docPropsVTypes"/>
</file>