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Supplementary Material: Leave-One-Site-Out (LOSO) Evaluation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Table S_LOSO_Design. LOSO rotation design.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900"/>
        <w:gridCol w:w="1300"/>
        <w:gridCol w:w="1600"/>
      </w:tblGrid>
      <w:tr>
        <w:tc>
          <w:tcPr>
            <w:tcW w:type="dxa" w:w="16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Held-out site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Source sites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Held-out n (control/ADHD)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FIT n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Inner-validation n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Participant/site characteristics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NYU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Peking, NeuroIMAGE, OHSU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177 (87/90)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244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AVAILABLE IN FROZEN SCOPE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Peking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NYU, NeuroIMAGE, OHSU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183 (109/74)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239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AVAILABLE IN FROZEN SCOPE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NeuroIMAGE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NYU, Peking, OHSU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39 (22/17)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362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AVAILABLE IN FROZEN SCOPE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OHSU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NYU, Peking, NeuroIMAGE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66 (38/28)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339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AVAILABLE IN FROZEN SCOPE</w:t>
            </w:r>
          </w:p>
        </w:tc>
      </w:tr>
    </w:tbl>
    <w:p>
      <w:pPr>
        <w:spacing w:after="240" w:before="120"/>
      </w:pPr>
      <w:r>
        <w:rPr>
          <w:i/>
          <w:iCs/>
          <w:sz w:val="20"/>
          <w:szCs w:val="20"/>
        </w:rPr>
        <w:t xml:space="preserve">Table S_LOSO_Design. For each LOSO rotation, the held-out site, its held-out sample size (control/ADHD), the three source sites, and the FIT/inner-validation sizes pooled across those source sites. “NOT AVAILABLE IN FROZEN SCOPE” indicates that no existing, verified table of participant/site characteristics was available to cross-reference within the frozen analysis boundary; no new demographic table was created for this phase.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Table S_LOSO_FullMetrics. Full metrics for all 16 held-out-site/ROI/model conditions.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0"/>
        <w:gridCol w:w="1300"/>
        <w:gridCol w:w="2200"/>
        <w:gridCol w:w="1300"/>
        <w:gridCol w:w="1100"/>
        <w:gridCol w:w="1200"/>
        <w:gridCol w:w="1200"/>
      </w:tblGrid>
      <w:tr>
        <w:tc>
          <w:tcPr>
            <w:tcW w:type="dxa" w:w="13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Held-out site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ROI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AUC [95% CI]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Balanced acc.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Macro F1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Sensitivity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Specificity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NYU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BrainNetCNN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57.6% [50.9, 64.2]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51.6%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39.3%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16.2%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86.9%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NYU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56.0% [47.2, 64.6]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54.7%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54.7%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58.9%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50.6%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NYU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BrainNetCNN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54.5% [48.1, 60.8]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54.2%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52.0%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38.7%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69.7%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NYU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55.7% [47.0, 63.9]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55.0%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54.0%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41.1%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69.0%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Peking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BrainNetCNN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56.2% [48.6, 63.5]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51.4%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48.2%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37.3%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65.5%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Peking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52.8% [44.1, 61.5]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52.7%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52.0%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31.1%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74.3%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Peking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BrainNetCNN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51.8% [45.8, 57.9]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52.6%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51.9%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44.3%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60.9%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Peking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54.3% [45.3, 62.9]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55.5%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55.6%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45.9%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65.1%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NeuroIMAGE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BrainNetCNN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63.3% [47.8, 77.3]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52.6%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44.6%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30.6%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74.5%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NeuroIMAGE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63.9% [45.7, 80.5]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59.2%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58.8%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41.2%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77.3%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NeuroIMAGE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BrainNetCNN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50.1% [38.8, 61.4]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50.8%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49.0%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27.1%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74.5%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NeuroIMAGE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57.2% [38.8, 74.6]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47.9%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47.9%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41.2%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54.5%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OHSU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BrainNetCNN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63.1% [50.4, 75.3]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58.8%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55.7%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68.6%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48.9%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OHSU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53.3% [39.2, 67.1]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51.0%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48.1%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67.9%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34.2%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OHSU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BrainNetCNN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49.6% [39.3, 60.1]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50.5%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49.3%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57.9%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43.2%</w:t>
            </w:r>
          </w:p>
        </w:tc>
      </w:tr>
      <w:tr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OHSU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44.4% [30.2, 58.9]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49.7%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46.4%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67.9%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31.6%</w:t>
            </w:r>
          </w:p>
        </w:tc>
      </w:tr>
    </w:tbl>
    <w:p>
      <w:pPr>
        <w:spacing w:after="240" w:before="120"/>
      </w:pPr>
      <w:r>
        <w:rPr>
          <w:i/>
          <w:iCs/>
          <w:sz w:val="20"/>
          <w:szCs w:val="20"/>
        </w:rPr>
        <w:t xml:space="preserve">Table S_LOSO_FullMetrics. AUC and secondary threshold-dependent metrics (balanced accuracy, macro F1, sensitivity, specificity) at a fixed probability threshold of 0.5, for each of the 16 held-out-site × ROI × model conditions. BrainNetCNN values are means of five seed-specific runs; logistic-regression values are from a single deterministic fit. No new confidence intervals were computed for the secondary metrics.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Table S_LOSO_Contrasts. Complete set of 12 preregistered LOSO contrasts.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300"/>
        <w:gridCol w:w="2200"/>
      </w:tblGrid>
      <w:tr>
        <w:tc>
          <w:tcPr>
            <w:tcW w:type="dxa" w:w="26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Contrast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Held-out site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Δ AUC (pp)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95% CI (pp)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116-ROI − 12-ROI (BrainNetCNN)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NYU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-3.0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[-11.0, 4.9]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116-ROI − 12-ROI (BrainNetCNN)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Peking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-4.4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[-11.2, 2.8]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116-ROI − 12-ROI (BrainNetCNN)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NeuroIMAGE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-13.3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[-30.3, 4.7]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116-ROI − 12-ROI (BrainNetCNN)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OHSU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-13.5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[-28.6, 1.9]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 − BrainNetCNN (12-ROI)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NYU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-1.6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[-11.0, 7.5]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 − BrainNetCNN (12-ROI)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Peking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-3.4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[-10.0, 3.3]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 − BrainNetCNN (12-ROI)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NeuroIMAGE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[-17.1, 18.0]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 − BrainNetCNN (12-ROI)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OHSU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-9.8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[-21.8, 1.7]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 − BrainNetCNN (116-ROI)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NYU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[-4.1, 6.4]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 − BrainNetCNN (116-ROI)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Peking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[-3.8, 8.7]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 − BrainNetCNN (116-ROI)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NeuroIMAGE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7.2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[-6.8, 21.1]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 − BrainNetCNN (116-ROI)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OHSU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-5.2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[-13.9, 3.1]</w:t>
            </w:r>
          </w:p>
        </w:tc>
      </w:tr>
    </w:tbl>
    <w:p>
      <w:pPr>
        <w:spacing w:after="240" w:before="120"/>
      </w:pPr>
      <w:r>
        <w:rPr>
          <w:i/>
          <w:iCs/>
          <w:sz w:val="20"/>
          <w:szCs w:val="20"/>
        </w:rPr>
        <w:t xml:space="preserve">Table S_LOSO_Contrasts. Paired differences in AUC, in percentage points, with two-sided 95% class-stratified participant-bootstrap confidence intervals, pointwise and unadjusted for multiplicity. The same class-stratified resamples were reused across all conditions and contrasts within each held-out site, preserving pairing. No pooled or averaged estimate across sites is presented.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Table S_LOSO_Seeds. BrainNetCNN between-seed dispersion.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600"/>
        <w:gridCol w:w="1600"/>
        <w:gridCol w:w="1600"/>
      </w:tblGrid>
      <w:tr>
        <w:tc>
          <w:tcPr>
            <w:tcW w:type="dxa" w:w="18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Held-out site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ROI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Seed AUC SD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Seed AUC min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Seed AUC max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NYU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4.46%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53.6%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64.9%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NYU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3.05%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50.4%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57.0%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Peking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2.35%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54.3%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59.3%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Peking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2.78%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47.7%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55.0%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NeuroIMAGE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1.80%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61.2%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65.8%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NeuroIMAGE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13.00%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29.1%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64.4%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OHSU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3.72%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57.1%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66.3%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OHSU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7.56%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42.9%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61.3%</w:t>
            </w:r>
          </w:p>
        </w:tc>
      </w:tr>
    </w:tbl>
    <w:p>
      <w:pPr>
        <w:spacing w:after="240" w:before="120"/>
      </w:pPr>
      <w:r>
        <w:rPr>
          <w:i/>
          <w:iCs/>
          <w:sz w:val="20"/>
          <w:szCs w:val="20"/>
        </w:rPr>
        <w:t xml:space="preserve">Table S_LOSO_Seeds. Dispersion of AUC across the five BrainNetCNN initialization seeds (42–46) for each held-out site and ROI panel. This dispersion is summarized separately from the participant-bootstrap confidence intervals reported in Table 6 and in Table S_LOSO_FullMetrics, and no new inferential test was performed on it.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Table S_LOSO_Convergence. Training convergence and early stopping.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1700"/>
        <w:gridCol w:w="1600"/>
        <w:gridCol w:w="1600"/>
        <w:gridCol w:w="1600"/>
      </w:tblGrid>
      <w:tr>
        <w:tc>
          <w:tcPr>
            <w:tcW w:type="dxa" w:w="16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Held-out site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ROI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Runs hitting epoch 300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Runs stopped early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Mean epochs run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Mean best epoch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NYU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300.0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300.0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NYU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2/5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234.2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218.2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Peking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300.0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300.0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Peking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2/5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237.6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219.2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NeuroIMAGE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300.0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300.0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NeuroIMAGE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0/5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235.8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210.8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OHSU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300.0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300.0</w:t>
            </w:r>
          </w:p>
        </w:tc>
      </w:tr>
      <w:tr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OHSU</w:t>
            </w:r>
          </w:p>
        </w:tc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17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4/5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295.6</w:t>
            </w:r>
          </w:p>
        </w:tc>
        <w:tc>
          <w:tcPr>
            <w:tcW w:type="dxa" w:w="1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281.4</w:t>
            </w:r>
          </w:p>
        </w:tc>
      </w:tr>
    </w:tbl>
    <w:p>
      <w:pPr>
        <w:spacing w:after="240" w:before="120"/>
      </w:pPr>
      <w:r>
        <w:rPr>
          <w:i/>
          <w:iCs/>
          <w:sz w:val="20"/>
          <w:szCs w:val="20"/>
        </w:rPr>
        <w:t xml:space="preserve">Table S_LOSO_Convergence. Number of BrainNetCNN runs (of five per held-out site × ROI condition) that reached the 300-epoch ceiling versus stopped earlier via early stopping, with mean epochs run and mean best epoch. Summarizes the already-frozen convergence records without new analysis.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2026-08-10T03:09:43.775Z</dcterms:created>
  <dcterms:modified xsi:type="dcterms:W3CDTF">2026-08-10T03:09:43.777Z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