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2019-01-10 -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  <w:t xml:space="preserve">-</w:t>
      </w:r>
      <w:r w:rsidDel="00000000" w:rsidR="00000000" w:rsidRPr="00000000">
        <w:rPr>
          <w:rtl w:val="0"/>
        </w:rPr>
        <w:t xml:space="preserve">Update meeting notes prior to the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-Treat this class as a 4 credit class, more work 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-Vacuum chamber should be running by Spring term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-Purchases should be in large quantities, must go through Parker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-Finish Edx/Ansys training by February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-Module 1 due January 17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-Hand calculations (January 24)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Triangular 4 node tetrahedral nodes may be sufficient for heat transfer ask gerry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-ANSYS Fluent package has solar modeling option under radiation tab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-can also control convection by setting air density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