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Key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one (oxygen) pump prototype shall be manufactured.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EFS shall use battery powered brushless DC motors.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EFS will be designed in such a way as to be compatible with pump scaling (affinity) laws.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EFS prototype system shall be low cost, with each pump designed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manufactured for under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7,900 (total of up to $15,800).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EFS shall deliver propellants in the liquid phase during operation.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 apparatus for the pumps are compatible with the existing liquid engine test stand (LETS).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Success measures: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EFS pumps liquid isopropyl alcohol (IPA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at 1.3-1.4 lbm/s.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EFS pumps liquid oxygen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LOX) at 1.6-1.8 lbm/s.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EFS delivers a discharge pressure greater than 350 psi.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EFS delivers a stable discharge pressure varying less than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EFS can sustain operational requirements for 20 seconds.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Prototype approximates a flight ready system in terms of mass (less than 10 kg).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pump can be disassembled, moved, and assembled by 3 team members in under 1 hour.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Stretch goals: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Manufacture IPA pump in addition to LOX pump.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Hot flow testing (e.g., Providing LOX to the LV4 thrust chamber during live fire)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