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133" w:rsidRDefault="00A2743F" w:rsidP="00A2743F">
      <w:pPr>
        <w:jc w:val="center"/>
      </w:pPr>
      <w:r>
        <w:t>INFORME DE SERVICIOS PROFESIONALES</w:t>
      </w:r>
    </w:p>
    <w:p w:rsidR="00A2743F" w:rsidRDefault="00A2743F" w:rsidP="00A2743F">
      <w:r>
        <w:t>Quito, 18 de febrero del 2021.</w:t>
      </w:r>
    </w:p>
    <w:p w:rsidR="00A2743F" w:rsidRDefault="00A2743F" w:rsidP="00A2743F">
      <w:r>
        <w:t xml:space="preserve">Mg. Jessica </w:t>
      </w:r>
      <w:proofErr w:type="spellStart"/>
      <w:r>
        <w:t>Tipantuña</w:t>
      </w:r>
      <w:proofErr w:type="spellEnd"/>
      <w:r>
        <w:t>.</w:t>
      </w:r>
    </w:p>
    <w:p w:rsidR="00A2743F" w:rsidRDefault="00A2743F" w:rsidP="00A2743F">
      <w:r>
        <w:t>Vicerrectora.</w:t>
      </w:r>
    </w:p>
    <w:p w:rsidR="00A2743F" w:rsidRDefault="00A2743F" w:rsidP="00A2743F"/>
    <w:p w:rsidR="00A2743F" w:rsidRDefault="00A2743F" w:rsidP="00A2743F">
      <w:r>
        <w:t>Es grato dirigirme a su persona para expresarle un saludo fraterno, y permitirme informarle lo siguiente:</w:t>
      </w:r>
    </w:p>
    <w:p w:rsidR="00A2743F" w:rsidRDefault="00C5026A" w:rsidP="00C5026A">
      <w:pPr>
        <w:jc w:val="both"/>
      </w:pPr>
      <w:r w:rsidRPr="00C5026A">
        <w:rPr>
          <w:b/>
        </w:rPr>
        <w:t>PRIMERO.</w:t>
      </w:r>
      <w:r>
        <w:t xml:space="preserve"> </w:t>
      </w:r>
      <w:r w:rsidR="00A2743F">
        <w:t xml:space="preserve"> Que previa coordinación con el Dr. Naranjo el día 8 de </w:t>
      </w:r>
      <w:r>
        <w:t>abril</w:t>
      </w:r>
      <w:r w:rsidR="00A2743F">
        <w:t xml:space="preserve"> del año 2020</w:t>
      </w:r>
      <w:r>
        <w:t xml:space="preserve"> se establece prestar servicios hacia las instituciones educativas que el doctor dirigía. Entre los acuerdos destacan brindar soporte de primer nivel sobre la instalación de plataformas Moodle y posterior mantenimiento de las mismas; a su vez proveer la infraestructura necesaria para su funcionamiento.</w:t>
      </w:r>
    </w:p>
    <w:p w:rsidR="00C5026A" w:rsidRDefault="00C5026A" w:rsidP="00C5026A">
      <w:pPr>
        <w:jc w:val="both"/>
      </w:pPr>
      <w:r>
        <w:t>Bajo estos lineamientos me permito informar las características técnicas de los equipos que actualmente se encuentran en funcionamiento.</w:t>
      </w:r>
    </w:p>
    <w:tbl>
      <w:tblPr>
        <w:tblStyle w:val="Tablaconcuadrcula"/>
        <w:tblW w:w="0" w:type="auto"/>
        <w:tblLook w:val="04A0" w:firstRow="1" w:lastRow="0" w:firstColumn="1" w:lastColumn="0" w:noHBand="0" w:noVBand="1"/>
      </w:tblPr>
      <w:tblGrid>
        <w:gridCol w:w="1817"/>
        <w:gridCol w:w="1537"/>
        <w:gridCol w:w="1701"/>
        <w:gridCol w:w="1748"/>
        <w:gridCol w:w="1691"/>
      </w:tblGrid>
      <w:tr w:rsidR="000E5C62" w:rsidTr="000E5C62">
        <w:tc>
          <w:tcPr>
            <w:tcW w:w="1872" w:type="dxa"/>
          </w:tcPr>
          <w:p w:rsidR="000E5C62" w:rsidRDefault="000E5C62" w:rsidP="00A2743F">
            <w:pPr>
              <w:jc w:val="center"/>
            </w:pPr>
            <w:r>
              <w:t>SERVIDOR</w:t>
            </w:r>
          </w:p>
        </w:tc>
        <w:tc>
          <w:tcPr>
            <w:tcW w:w="1661" w:type="dxa"/>
          </w:tcPr>
          <w:p w:rsidR="000E5C62" w:rsidRDefault="000E5C62" w:rsidP="00A2743F">
            <w:pPr>
              <w:jc w:val="center"/>
            </w:pPr>
            <w:r>
              <w:t>DISCO DURO</w:t>
            </w:r>
          </w:p>
        </w:tc>
        <w:tc>
          <w:tcPr>
            <w:tcW w:w="1790" w:type="dxa"/>
          </w:tcPr>
          <w:p w:rsidR="000E5C62" w:rsidRDefault="000E5C62" w:rsidP="00A2743F">
            <w:pPr>
              <w:jc w:val="center"/>
            </w:pPr>
            <w:r>
              <w:t>MEMORIA</w:t>
            </w:r>
          </w:p>
        </w:tc>
        <w:tc>
          <w:tcPr>
            <w:tcW w:w="1796" w:type="dxa"/>
          </w:tcPr>
          <w:p w:rsidR="000E5C62" w:rsidRDefault="000E5C62" w:rsidP="00A2743F">
            <w:pPr>
              <w:jc w:val="center"/>
            </w:pPr>
            <w:r>
              <w:t>PROCESADOR</w:t>
            </w:r>
          </w:p>
        </w:tc>
        <w:tc>
          <w:tcPr>
            <w:tcW w:w="1375" w:type="dxa"/>
          </w:tcPr>
          <w:p w:rsidR="000E5C62" w:rsidRDefault="000E5C62" w:rsidP="00A2743F">
            <w:pPr>
              <w:jc w:val="center"/>
            </w:pPr>
            <w:r>
              <w:t xml:space="preserve">TRANSFERENCIA  DE RED </w:t>
            </w:r>
          </w:p>
        </w:tc>
      </w:tr>
      <w:tr w:rsidR="000E5C62" w:rsidTr="000E5C62">
        <w:tc>
          <w:tcPr>
            <w:tcW w:w="1872" w:type="dxa"/>
          </w:tcPr>
          <w:p w:rsidR="000E5C62" w:rsidRDefault="000E5C62" w:rsidP="000E5C62">
            <w:r>
              <w:t>AAMPETRA</w:t>
            </w:r>
          </w:p>
        </w:tc>
        <w:tc>
          <w:tcPr>
            <w:tcW w:w="1661" w:type="dxa"/>
          </w:tcPr>
          <w:p w:rsidR="000E5C62" w:rsidRDefault="000E5C62" w:rsidP="00A2743F">
            <w:pPr>
              <w:jc w:val="center"/>
            </w:pPr>
            <w:r>
              <w:t>240 GB</w:t>
            </w:r>
          </w:p>
        </w:tc>
        <w:tc>
          <w:tcPr>
            <w:tcW w:w="1790" w:type="dxa"/>
          </w:tcPr>
          <w:p w:rsidR="000E5C62" w:rsidRDefault="000E5C62" w:rsidP="00A2743F">
            <w:pPr>
              <w:jc w:val="center"/>
            </w:pPr>
            <w:r>
              <w:t>16 GB</w:t>
            </w:r>
          </w:p>
        </w:tc>
        <w:tc>
          <w:tcPr>
            <w:tcW w:w="1796" w:type="dxa"/>
          </w:tcPr>
          <w:p w:rsidR="000E5C62" w:rsidRDefault="000E5C62" w:rsidP="00A2743F">
            <w:pPr>
              <w:jc w:val="center"/>
            </w:pPr>
            <w:r>
              <w:t xml:space="preserve">8 </w:t>
            </w:r>
            <w:proofErr w:type="spellStart"/>
            <w:r>
              <w:t>cores</w:t>
            </w:r>
            <w:proofErr w:type="spellEnd"/>
          </w:p>
        </w:tc>
        <w:tc>
          <w:tcPr>
            <w:tcW w:w="1375" w:type="dxa"/>
          </w:tcPr>
          <w:p w:rsidR="000E5C62" w:rsidRDefault="000E5C62" w:rsidP="00A2743F">
            <w:pPr>
              <w:jc w:val="center"/>
            </w:pPr>
            <w:r>
              <w:t>20 TB/MES</w:t>
            </w:r>
          </w:p>
        </w:tc>
      </w:tr>
      <w:tr w:rsidR="000E5C62" w:rsidTr="000E5C62">
        <w:tc>
          <w:tcPr>
            <w:tcW w:w="1872" w:type="dxa"/>
          </w:tcPr>
          <w:p w:rsidR="000E5C62" w:rsidRDefault="000E5C62" w:rsidP="000E5C62">
            <w:r>
              <w:t>AMMIS</w:t>
            </w:r>
          </w:p>
        </w:tc>
        <w:tc>
          <w:tcPr>
            <w:tcW w:w="1661" w:type="dxa"/>
          </w:tcPr>
          <w:p w:rsidR="000E5C62" w:rsidRDefault="000E5C62" w:rsidP="00A2743F">
            <w:pPr>
              <w:jc w:val="center"/>
            </w:pPr>
            <w:r>
              <w:t>240 GB</w:t>
            </w:r>
          </w:p>
        </w:tc>
        <w:tc>
          <w:tcPr>
            <w:tcW w:w="1790" w:type="dxa"/>
          </w:tcPr>
          <w:p w:rsidR="000E5C62" w:rsidRDefault="000E5C62" w:rsidP="00A2743F">
            <w:pPr>
              <w:jc w:val="center"/>
            </w:pPr>
            <w:r>
              <w:t>16 GB</w:t>
            </w:r>
          </w:p>
        </w:tc>
        <w:tc>
          <w:tcPr>
            <w:tcW w:w="1796" w:type="dxa"/>
          </w:tcPr>
          <w:p w:rsidR="000E5C62" w:rsidRDefault="000E5C62" w:rsidP="00A2743F">
            <w:pPr>
              <w:jc w:val="center"/>
            </w:pPr>
            <w:r>
              <w:t xml:space="preserve">8 </w:t>
            </w:r>
            <w:proofErr w:type="spellStart"/>
            <w:r>
              <w:t>cores</w:t>
            </w:r>
            <w:proofErr w:type="spellEnd"/>
          </w:p>
        </w:tc>
        <w:tc>
          <w:tcPr>
            <w:tcW w:w="1375" w:type="dxa"/>
          </w:tcPr>
          <w:p w:rsidR="000E5C62" w:rsidRDefault="000E5C62" w:rsidP="00A2743F">
            <w:pPr>
              <w:jc w:val="center"/>
            </w:pPr>
            <w:r>
              <w:t>20 TB/MES</w:t>
            </w:r>
          </w:p>
        </w:tc>
      </w:tr>
      <w:tr w:rsidR="000E5C62" w:rsidTr="000E5C62">
        <w:tc>
          <w:tcPr>
            <w:tcW w:w="1872" w:type="dxa"/>
          </w:tcPr>
          <w:p w:rsidR="000E5C62" w:rsidRDefault="000E5C62" w:rsidP="000E5C62">
            <w:r>
              <w:t>CONDUCCION</w:t>
            </w:r>
          </w:p>
        </w:tc>
        <w:tc>
          <w:tcPr>
            <w:tcW w:w="1661" w:type="dxa"/>
          </w:tcPr>
          <w:p w:rsidR="000E5C62" w:rsidRDefault="000E5C62" w:rsidP="00A2743F">
            <w:pPr>
              <w:jc w:val="center"/>
            </w:pPr>
            <w:r>
              <w:t>240 GB</w:t>
            </w:r>
          </w:p>
        </w:tc>
        <w:tc>
          <w:tcPr>
            <w:tcW w:w="1790" w:type="dxa"/>
          </w:tcPr>
          <w:p w:rsidR="000E5C62" w:rsidRDefault="000E5C62" w:rsidP="00A2743F">
            <w:pPr>
              <w:jc w:val="center"/>
            </w:pPr>
            <w:r>
              <w:t>16 GB</w:t>
            </w:r>
          </w:p>
        </w:tc>
        <w:tc>
          <w:tcPr>
            <w:tcW w:w="1796" w:type="dxa"/>
          </w:tcPr>
          <w:p w:rsidR="000E5C62" w:rsidRDefault="000E5C62" w:rsidP="00A2743F">
            <w:pPr>
              <w:jc w:val="center"/>
            </w:pPr>
            <w:r>
              <w:t xml:space="preserve">4 </w:t>
            </w:r>
            <w:proofErr w:type="spellStart"/>
            <w:r>
              <w:t>cores</w:t>
            </w:r>
            <w:proofErr w:type="spellEnd"/>
          </w:p>
        </w:tc>
        <w:tc>
          <w:tcPr>
            <w:tcW w:w="1375" w:type="dxa"/>
          </w:tcPr>
          <w:p w:rsidR="000E5C62" w:rsidRDefault="000E5C62" w:rsidP="00A2743F">
            <w:pPr>
              <w:jc w:val="center"/>
            </w:pPr>
            <w:r>
              <w:t>20 TB/MES</w:t>
            </w:r>
          </w:p>
        </w:tc>
      </w:tr>
      <w:tr w:rsidR="000E5C62" w:rsidTr="000E5C62">
        <w:tc>
          <w:tcPr>
            <w:tcW w:w="1872" w:type="dxa"/>
          </w:tcPr>
          <w:p w:rsidR="000E5C62" w:rsidRDefault="000E5C62" w:rsidP="000E5C62">
            <w:r>
              <w:t>SANGOLQUI</w:t>
            </w:r>
          </w:p>
        </w:tc>
        <w:tc>
          <w:tcPr>
            <w:tcW w:w="1661" w:type="dxa"/>
          </w:tcPr>
          <w:p w:rsidR="000E5C62" w:rsidRDefault="000E5C62" w:rsidP="00A2743F">
            <w:pPr>
              <w:jc w:val="center"/>
            </w:pPr>
            <w:r>
              <w:t>240 GB</w:t>
            </w:r>
          </w:p>
        </w:tc>
        <w:tc>
          <w:tcPr>
            <w:tcW w:w="1790" w:type="dxa"/>
          </w:tcPr>
          <w:p w:rsidR="000E5C62" w:rsidRDefault="000E5C62" w:rsidP="00A2743F">
            <w:pPr>
              <w:jc w:val="center"/>
            </w:pPr>
            <w:r>
              <w:t>12 GB</w:t>
            </w:r>
          </w:p>
        </w:tc>
        <w:tc>
          <w:tcPr>
            <w:tcW w:w="1796" w:type="dxa"/>
          </w:tcPr>
          <w:p w:rsidR="000E5C62" w:rsidRDefault="000E5C62" w:rsidP="00A2743F">
            <w:pPr>
              <w:jc w:val="center"/>
            </w:pPr>
            <w:r>
              <w:t xml:space="preserve">4 </w:t>
            </w:r>
            <w:proofErr w:type="spellStart"/>
            <w:r>
              <w:t>cores</w:t>
            </w:r>
            <w:proofErr w:type="spellEnd"/>
          </w:p>
        </w:tc>
        <w:tc>
          <w:tcPr>
            <w:tcW w:w="1375" w:type="dxa"/>
          </w:tcPr>
          <w:p w:rsidR="000E5C62" w:rsidRDefault="000E5C62" w:rsidP="00A2743F">
            <w:pPr>
              <w:jc w:val="center"/>
            </w:pPr>
            <w:r>
              <w:t>20 TB/MES</w:t>
            </w:r>
          </w:p>
        </w:tc>
      </w:tr>
      <w:tr w:rsidR="000E5C62" w:rsidTr="000E5C62">
        <w:tc>
          <w:tcPr>
            <w:tcW w:w="1872" w:type="dxa"/>
          </w:tcPr>
          <w:p w:rsidR="000E5C62" w:rsidRDefault="000E5C62" w:rsidP="000E5C62">
            <w:r>
              <w:t>BASE DE DATOS AMPETRA</w:t>
            </w:r>
          </w:p>
        </w:tc>
        <w:tc>
          <w:tcPr>
            <w:tcW w:w="1661" w:type="dxa"/>
          </w:tcPr>
          <w:p w:rsidR="000E5C62" w:rsidRDefault="002C3CD2" w:rsidP="00A2743F">
            <w:pPr>
              <w:jc w:val="center"/>
            </w:pPr>
            <w:r>
              <w:t>160 GB</w:t>
            </w:r>
          </w:p>
        </w:tc>
        <w:tc>
          <w:tcPr>
            <w:tcW w:w="1790" w:type="dxa"/>
          </w:tcPr>
          <w:p w:rsidR="000E5C62" w:rsidRDefault="002C3CD2" w:rsidP="00A2743F">
            <w:pPr>
              <w:jc w:val="center"/>
            </w:pPr>
            <w:r>
              <w:t>8 GB</w:t>
            </w:r>
          </w:p>
        </w:tc>
        <w:tc>
          <w:tcPr>
            <w:tcW w:w="1796" w:type="dxa"/>
          </w:tcPr>
          <w:p w:rsidR="000E5C62" w:rsidRDefault="002C3CD2" w:rsidP="00A2743F">
            <w:pPr>
              <w:jc w:val="center"/>
            </w:pPr>
            <w:r>
              <w:t xml:space="preserve">4 </w:t>
            </w:r>
            <w:proofErr w:type="spellStart"/>
            <w:r>
              <w:t>cores</w:t>
            </w:r>
            <w:proofErr w:type="spellEnd"/>
          </w:p>
        </w:tc>
        <w:tc>
          <w:tcPr>
            <w:tcW w:w="1375" w:type="dxa"/>
          </w:tcPr>
          <w:p w:rsidR="000E5C62" w:rsidRDefault="002C3CD2" w:rsidP="00A2743F">
            <w:pPr>
              <w:jc w:val="center"/>
            </w:pPr>
            <w:r>
              <w:t>20 TB/MES</w:t>
            </w:r>
          </w:p>
        </w:tc>
      </w:tr>
    </w:tbl>
    <w:p w:rsidR="00A2743F" w:rsidRDefault="00A2743F" w:rsidP="002C3CD2"/>
    <w:p w:rsidR="002C3CD2" w:rsidRDefault="002C3CD2" w:rsidP="002C3CD2">
      <w:r>
        <w:t>ALMACENAMIENTO: La información generada por cada plataforma se encuentra almacenada en discos duros externos elásticos permitiendo almacenamiento ilimitado de información. Como referencia según estadísticas revisadas el servidor que tiene mayor consumo de disco son AAMPETRA Y AMMIS existiendo un promedio de 300GB y 290GB mensuales respectivamente.</w:t>
      </w:r>
    </w:p>
    <w:p w:rsidR="002C3CD2" w:rsidRDefault="002C3CD2" w:rsidP="002C3CD2">
      <w:pPr>
        <w:jc w:val="both"/>
      </w:pPr>
      <w:r>
        <w:t xml:space="preserve">ACTIVIDADES COMPLEMENTARIAS: En los servidores mencionados actualmente se encuentran alojadas 7 instituciones educativas; se acompañó en la instalación de sistemas operativos y plataformas por dos ocasiones con el cambio de año lectivo, de igual manera se prestó soporte técnico sobre problemas generados por múltiples causas entre ellas destacan instalación de </w:t>
      </w:r>
      <w:proofErr w:type="spellStart"/>
      <w:r>
        <w:t>plugins</w:t>
      </w:r>
      <w:proofErr w:type="spellEnd"/>
      <w:r>
        <w:t xml:space="preserve">. </w:t>
      </w:r>
    </w:p>
    <w:p w:rsidR="00C5026A" w:rsidRDefault="00C5026A" w:rsidP="00C5026A">
      <w:pPr>
        <w:jc w:val="both"/>
      </w:pPr>
      <w:r>
        <w:t xml:space="preserve">Es importante mencionar que bajo previo consentimiento los servicios prestados tendrían una vigencia de un año; con esta premisa la fecha de vencimiento del acuerdo es el día 8 de </w:t>
      </w:r>
      <w:r w:rsidR="00845899">
        <w:t>abril</w:t>
      </w:r>
      <w:r>
        <w:t xml:space="preserve"> del año 2021.</w:t>
      </w:r>
    </w:p>
    <w:p w:rsidR="00C5026A" w:rsidRDefault="00C5026A" w:rsidP="00C5026A">
      <w:pPr>
        <w:jc w:val="both"/>
      </w:pPr>
      <w:r>
        <w:t>Me permito también informar que los valores económicos recibidos previamente con el Dr. Naranjo suman la cantidad de 6000 dólares.</w:t>
      </w:r>
    </w:p>
    <w:tbl>
      <w:tblPr>
        <w:tblStyle w:val="Tablaconcuadrcula"/>
        <w:tblW w:w="8500" w:type="dxa"/>
        <w:tblLook w:val="04A0" w:firstRow="1" w:lastRow="0" w:firstColumn="1" w:lastColumn="0" w:noHBand="0" w:noVBand="1"/>
      </w:tblPr>
      <w:tblGrid>
        <w:gridCol w:w="6091"/>
        <w:gridCol w:w="2409"/>
      </w:tblGrid>
      <w:tr w:rsidR="00235DAB" w:rsidTr="00235DAB">
        <w:tc>
          <w:tcPr>
            <w:tcW w:w="6091" w:type="dxa"/>
          </w:tcPr>
          <w:p w:rsidR="00235DAB" w:rsidRPr="000E5C62" w:rsidRDefault="00235DAB" w:rsidP="00C5026A">
            <w:pPr>
              <w:jc w:val="both"/>
              <w:rPr>
                <w:b/>
              </w:rPr>
            </w:pPr>
            <w:r w:rsidRPr="000E5C62">
              <w:rPr>
                <w:b/>
              </w:rPr>
              <w:t>Descripción</w:t>
            </w:r>
          </w:p>
        </w:tc>
        <w:tc>
          <w:tcPr>
            <w:tcW w:w="2409" w:type="dxa"/>
          </w:tcPr>
          <w:p w:rsidR="00235DAB" w:rsidRPr="000E5C62" w:rsidRDefault="00235DAB" w:rsidP="00C5026A">
            <w:pPr>
              <w:jc w:val="both"/>
              <w:rPr>
                <w:b/>
              </w:rPr>
            </w:pPr>
            <w:r w:rsidRPr="000E5C62">
              <w:rPr>
                <w:b/>
              </w:rPr>
              <w:t>Valor</w:t>
            </w:r>
          </w:p>
        </w:tc>
      </w:tr>
      <w:tr w:rsidR="00235DAB" w:rsidTr="00235DAB">
        <w:tc>
          <w:tcPr>
            <w:tcW w:w="6091" w:type="dxa"/>
          </w:tcPr>
          <w:p w:rsidR="00235DAB" w:rsidRDefault="00235DAB" w:rsidP="00C5026A">
            <w:pPr>
              <w:jc w:val="both"/>
            </w:pPr>
            <w:r>
              <w:t>Depósito realizado a través de ventanilla al Banco de Guayaquil</w:t>
            </w:r>
          </w:p>
        </w:tc>
        <w:tc>
          <w:tcPr>
            <w:tcW w:w="2409" w:type="dxa"/>
          </w:tcPr>
          <w:p w:rsidR="00235DAB" w:rsidRDefault="00235DAB" w:rsidP="000E5C62">
            <w:pPr>
              <w:jc w:val="right"/>
            </w:pPr>
            <w:r>
              <w:t>1600</w:t>
            </w:r>
          </w:p>
        </w:tc>
      </w:tr>
      <w:tr w:rsidR="00235DAB" w:rsidTr="00235DAB">
        <w:tc>
          <w:tcPr>
            <w:tcW w:w="6091" w:type="dxa"/>
          </w:tcPr>
          <w:p w:rsidR="00235DAB" w:rsidRDefault="00235DAB" w:rsidP="00C5026A">
            <w:pPr>
              <w:jc w:val="both"/>
            </w:pPr>
            <w:r>
              <w:t>Cheque</w:t>
            </w:r>
          </w:p>
        </w:tc>
        <w:tc>
          <w:tcPr>
            <w:tcW w:w="2409" w:type="dxa"/>
          </w:tcPr>
          <w:p w:rsidR="00235DAB" w:rsidRDefault="00235DAB" w:rsidP="000E5C62">
            <w:pPr>
              <w:jc w:val="right"/>
            </w:pPr>
            <w:r>
              <w:t>2000</w:t>
            </w:r>
          </w:p>
        </w:tc>
      </w:tr>
      <w:tr w:rsidR="00235DAB" w:rsidTr="00235DAB">
        <w:tc>
          <w:tcPr>
            <w:tcW w:w="6091" w:type="dxa"/>
          </w:tcPr>
          <w:p w:rsidR="00235DAB" w:rsidRDefault="00235DAB" w:rsidP="00C5026A">
            <w:pPr>
              <w:jc w:val="both"/>
            </w:pPr>
            <w:r>
              <w:lastRenderedPageBreak/>
              <w:t>Cheque</w:t>
            </w:r>
          </w:p>
        </w:tc>
        <w:tc>
          <w:tcPr>
            <w:tcW w:w="2409" w:type="dxa"/>
          </w:tcPr>
          <w:p w:rsidR="00235DAB" w:rsidRDefault="00235DAB" w:rsidP="000E5C62">
            <w:pPr>
              <w:jc w:val="right"/>
            </w:pPr>
            <w:r>
              <w:t>1800</w:t>
            </w:r>
          </w:p>
        </w:tc>
      </w:tr>
      <w:tr w:rsidR="00235DAB" w:rsidTr="00235DAB">
        <w:tc>
          <w:tcPr>
            <w:tcW w:w="6091" w:type="dxa"/>
          </w:tcPr>
          <w:p w:rsidR="00235DAB" w:rsidRDefault="00235DAB" w:rsidP="00C5026A">
            <w:pPr>
              <w:jc w:val="both"/>
            </w:pPr>
            <w:r>
              <w:t>Cheque</w:t>
            </w:r>
          </w:p>
        </w:tc>
        <w:tc>
          <w:tcPr>
            <w:tcW w:w="2409" w:type="dxa"/>
          </w:tcPr>
          <w:p w:rsidR="00235DAB" w:rsidRDefault="00235DAB" w:rsidP="000E5C62">
            <w:pPr>
              <w:jc w:val="right"/>
            </w:pPr>
            <w:r>
              <w:t>980</w:t>
            </w:r>
          </w:p>
        </w:tc>
      </w:tr>
      <w:tr w:rsidR="00235DAB" w:rsidTr="00235DAB">
        <w:tc>
          <w:tcPr>
            <w:tcW w:w="6091" w:type="dxa"/>
          </w:tcPr>
          <w:p w:rsidR="00235DAB" w:rsidRPr="00845899" w:rsidRDefault="00235DAB" w:rsidP="00C5026A">
            <w:pPr>
              <w:jc w:val="both"/>
              <w:rPr>
                <w:b/>
              </w:rPr>
            </w:pPr>
            <w:r w:rsidRPr="00845899">
              <w:rPr>
                <w:b/>
              </w:rPr>
              <w:t>Total</w:t>
            </w:r>
          </w:p>
        </w:tc>
        <w:tc>
          <w:tcPr>
            <w:tcW w:w="2409" w:type="dxa"/>
          </w:tcPr>
          <w:p w:rsidR="00235DAB" w:rsidRPr="00845899" w:rsidRDefault="00235DAB" w:rsidP="000E5C62">
            <w:pPr>
              <w:jc w:val="right"/>
              <w:rPr>
                <w:b/>
              </w:rPr>
            </w:pPr>
            <w:r w:rsidRPr="00845899">
              <w:rPr>
                <w:b/>
              </w:rPr>
              <w:t>6380</w:t>
            </w:r>
          </w:p>
        </w:tc>
      </w:tr>
    </w:tbl>
    <w:p w:rsidR="00235DAB" w:rsidRDefault="00235DAB" w:rsidP="00C5026A">
      <w:pPr>
        <w:jc w:val="both"/>
      </w:pPr>
    </w:p>
    <w:p w:rsidR="00845899" w:rsidRDefault="00845899" w:rsidP="00C5026A">
      <w:pPr>
        <w:jc w:val="both"/>
      </w:pPr>
      <w:r>
        <w:t>De igual manera existen pagos no contemplados inicialmente por concepto de ajustes en disco y capacidad de cómputo los cuales se detallan a continuación:</w:t>
      </w:r>
    </w:p>
    <w:tbl>
      <w:tblPr>
        <w:tblStyle w:val="Tablaconcuadrcula"/>
        <w:tblW w:w="0" w:type="auto"/>
        <w:tblLook w:val="04A0" w:firstRow="1" w:lastRow="0" w:firstColumn="1" w:lastColumn="0" w:noHBand="0" w:noVBand="1"/>
      </w:tblPr>
      <w:tblGrid>
        <w:gridCol w:w="6091"/>
        <w:gridCol w:w="2403"/>
      </w:tblGrid>
      <w:tr w:rsidR="000E5C62" w:rsidTr="000E5C62">
        <w:tc>
          <w:tcPr>
            <w:tcW w:w="6091" w:type="dxa"/>
          </w:tcPr>
          <w:p w:rsidR="000E5C62" w:rsidRPr="000E5C62" w:rsidRDefault="000E5C62" w:rsidP="00C5026A">
            <w:pPr>
              <w:jc w:val="both"/>
              <w:rPr>
                <w:b/>
              </w:rPr>
            </w:pPr>
            <w:r w:rsidRPr="000E5C62">
              <w:rPr>
                <w:b/>
              </w:rPr>
              <w:t>Descripción</w:t>
            </w:r>
          </w:p>
        </w:tc>
        <w:tc>
          <w:tcPr>
            <w:tcW w:w="2403" w:type="dxa"/>
          </w:tcPr>
          <w:p w:rsidR="000E5C62" w:rsidRPr="000E5C62" w:rsidRDefault="000E5C62" w:rsidP="00C5026A">
            <w:pPr>
              <w:jc w:val="both"/>
              <w:rPr>
                <w:b/>
              </w:rPr>
            </w:pPr>
            <w:r w:rsidRPr="000E5C62">
              <w:rPr>
                <w:b/>
              </w:rPr>
              <w:t>Valor</w:t>
            </w:r>
          </w:p>
        </w:tc>
      </w:tr>
      <w:tr w:rsidR="000E5C62" w:rsidTr="000E5C62">
        <w:tc>
          <w:tcPr>
            <w:tcW w:w="6091" w:type="dxa"/>
          </w:tcPr>
          <w:p w:rsidR="000E5C62" w:rsidRDefault="000E5C62" w:rsidP="000E5C62">
            <w:pPr>
              <w:jc w:val="both"/>
            </w:pPr>
            <w:r>
              <w:t>Factura 113</w:t>
            </w:r>
            <w:r>
              <w:t xml:space="preserve"> (13/08/2020)</w:t>
            </w:r>
          </w:p>
        </w:tc>
        <w:tc>
          <w:tcPr>
            <w:tcW w:w="2403" w:type="dxa"/>
          </w:tcPr>
          <w:p w:rsidR="000E5C62" w:rsidRDefault="000E5C62" w:rsidP="000E5C62">
            <w:pPr>
              <w:jc w:val="right"/>
            </w:pPr>
            <w:r>
              <w:t>1</w:t>
            </w:r>
            <w:r>
              <w:t>62.37</w:t>
            </w:r>
          </w:p>
        </w:tc>
      </w:tr>
      <w:tr w:rsidR="000E5C62" w:rsidTr="000E5C62">
        <w:tc>
          <w:tcPr>
            <w:tcW w:w="6091" w:type="dxa"/>
          </w:tcPr>
          <w:p w:rsidR="000E5C62" w:rsidRDefault="000E5C62" w:rsidP="000E5C62">
            <w:pPr>
              <w:jc w:val="both"/>
            </w:pPr>
            <w:r>
              <w:t>Factura 114 (13/08/2020)</w:t>
            </w:r>
          </w:p>
        </w:tc>
        <w:tc>
          <w:tcPr>
            <w:tcW w:w="2403" w:type="dxa"/>
          </w:tcPr>
          <w:p w:rsidR="000E5C62" w:rsidRDefault="000E5C62" w:rsidP="000E5C62">
            <w:pPr>
              <w:jc w:val="right"/>
            </w:pPr>
            <w:r>
              <w:t>164.23</w:t>
            </w:r>
          </w:p>
        </w:tc>
      </w:tr>
      <w:tr w:rsidR="000E5C62" w:rsidTr="000E5C62">
        <w:tc>
          <w:tcPr>
            <w:tcW w:w="6091" w:type="dxa"/>
          </w:tcPr>
          <w:p w:rsidR="000E5C62" w:rsidRDefault="000E5C62" w:rsidP="000E5C62">
            <w:pPr>
              <w:jc w:val="both"/>
            </w:pPr>
          </w:p>
        </w:tc>
        <w:tc>
          <w:tcPr>
            <w:tcW w:w="2403" w:type="dxa"/>
          </w:tcPr>
          <w:p w:rsidR="000E5C62" w:rsidRDefault="000E5C62" w:rsidP="000E5C62">
            <w:pPr>
              <w:jc w:val="both"/>
            </w:pPr>
          </w:p>
        </w:tc>
      </w:tr>
    </w:tbl>
    <w:p w:rsidR="00845899" w:rsidRDefault="00845899" w:rsidP="00C5026A">
      <w:pPr>
        <w:jc w:val="both"/>
      </w:pPr>
    </w:p>
    <w:p w:rsidR="002C3CD2" w:rsidRDefault="002C3CD2" w:rsidP="00C5026A">
      <w:pPr>
        <w:jc w:val="both"/>
      </w:pPr>
      <w:r>
        <w:t xml:space="preserve">Es todo cuanto puedo informar en honor a la verdad. </w:t>
      </w:r>
    </w:p>
    <w:p w:rsidR="002C3CD2" w:rsidRDefault="002C3CD2" w:rsidP="00C5026A">
      <w:pPr>
        <w:jc w:val="both"/>
      </w:pPr>
    </w:p>
    <w:p w:rsidR="002C3CD2" w:rsidRDefault="002C3CD2" w:rsidP="00C5026A">
      <w:pPr>
        <w:jc w:val="both"/>
      </w:pPr>
      <w:r>
        <w:t>Con sentido de distinguida consideración:</w:t>
      </w:r>
    </w:p>
    <w:p w:rsidR="002C3CD2" w:rsidRDefault="002C3CD2" w:rsidP="00C5026A">
      <w:pPr>
        <w:jc w:val="both"/>
      </w:pPr>
    </w:p>
    <w:p w:rsidR="002C3CD2" w:rsidRDefault="002C3CD2" w:rsidP="00C5026A">
      <w:pPr>
        <w:jc w:val="both"/>
      </w:pPr>
      <w:r>
        <w:t>Ing. Juan Pablo Paredes</w:t>
      </w:r>
    </w:p>
    <w:p w:rsidR="002C3CD2" w:rsidRDefault="002C3CD2" w:rsidP="00C5026A">
      <w:pPr>
        <w:jc w:val="both"/>
      </w:pPr>
      <w:r>
        <w:t>CI: 0603865577</w:t>
      </w:r>
      <w:bookmarkStart w:id="0" w:name="_GoBack"/>
      <w:bookmarkEnd w:id="0"/>
    </w:p>
    <w:p w:rsidR="002C3CD2" w:rsidRDefault="002C3CD2" w:rsidP="00C5026A">
      <w:pPr>
        <w:jc w:val="both"/>
      </w:pPr>
    </w:p>
    <w:sectPr w:rsidR="002C3C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43F"/>
    <w:rsid w:val="000E5C62"/>
    <w:rsid w:val="00235DAB"/>
    <w:rsid w:val="002C3CD2"/>
    <w:rsid w:val="00561133"/>
    <w:rsid w:val="00845899"/>
    <w:rsid w:val="00A2743F"/>
    <w:rsid w:val="00C5026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187B"/>
  <w15:chartTrackingRefBased/>
  <w15:docId w15:val="{9C58A6C8-D54A-4B59-8149-E925A821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27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398</Words>
  <Characters>2190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CIES</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PAREDES MUÑOZ</dc:creator>
  <cp:keywords/>
  <dc:description/>
  <cp:lastModifiedBy>JUAN PABLO PAREDES MUÑOZ</cp:lastModifiedBy>
  <cp:revision>2</cp:revision>
  <dcterms:created xsi:type="dcterms:W3CDTF">2021-02-18T20:00:00Z</dcterms:created>
  <dcterms:modified xsi:type="dcterms:W3CDTF">2021-02-18T21:10:00Z</dcterms:modified>
</cp:coreProperties>
</file>