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75iecxibs2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bauwkqm8bz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wgr4ilakww0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5dz64wc0u3q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Ubuntu Medium" w:cs="Ubuntu Medium" w:eastAsia="Ubuntu Medium" w:hAnsi="Ubuntu Medium"/>
        </w:rPr>
      </w:pPr>
      <w:bookmarkStart w:colFirst="0" w:colLast="0" w:name="_x3zcuhs5v3" w:id="4"/>
      <w:bookmarkEnd w:id="4"/>
      <w:r w:rsidDel="00000000" w:rsidR="00000000" w:rsidRPr="00000000">
        <w:rPr>
          <w:rtl w:val="0"/>
        </w:rPr>
        <w:t xml:space="preserve">Grille d'évaluation individuelle de certification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Ubuntu Medium" w:cs="Ubuntu Medium" w:eastAsia="Ubuntu Medium" w:hAnsi="Ubuntu Medium"/>
        </w:rPr>
      </w:pPr>
      <w:bookmarkStart w:colFirst="0" w:colLast="0" w:name="_ofzffmsla2mh" w:id="5"/>
      <w:bookmarkEnd w:id="5"/>
      <w:r w:rsidDel="00000000" w:rsidR="00000000" w:rsidRPr="00000000">
        <w:rPr>
          <w:rFonts w:ascii="Ubuntu Light" w:cs="Ubuntu Light" w:eastAsia="Ubuntu Light" w:hAnsi="Ubuntu Light"/>
          <w:rtl w:val="0"/>
        </w:rPr>
        <w:t xml:space="preserve">Développeur.se en intelligence artificielle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firstLine="720"/>
        <w:jc w:val="center"/>
        <w:rPr>
          <w:rFonts w:ascii="Ubuntu Medium" w:cs="Ubuntu Medium" w:eastAsia="Ubuntu Medium" w:hAnsi="Ubuntu Medium"/>
        </w:rPr>
      </w:pPr>
      <w:bookmarkStart w:colFirst="0" w:colLast="0" w:name="_94ne44kdp5b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firstLine="720"/>
        <w:jc w:val="center"/>
        <w:rPr>
          <w:rFonts w:ascii="Ubuntu Medium" w:cs="Ubuntu Medium" w:eastAsia="Ubuntu Medium" w:hAnsi="Ubuntu Medium"/>
        </w:rPr>
      </w:pPr>
      <w:bookmarkStart w:colFirst="0" w:colLast="0" w:name="_gxggdisganc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firstLine="720"/>
        <w:jc w:val="center"/>
        <w:rPr>
          <w:rFonts w:ascii="Ubuntu Medium" w:cs="Ubuntu Medium" w:eastAsia="Ubuntu Medium" w:hAnsi="Ubuntu Medium"/>
        </w:rPr>
      </w:pPr>
      <w:bookmarkStart w:colFirst="0" w:colLast="0" w:name="_qt5j8vgto1pz" w:id="8"/>
      <w:bookmarkEnd w:id="8"/>
      <w:r w:rsidDel="00000000" w:rsidR="00000000" w:rsidRPr="00000000">
        <w:rPr>
          <w:rFonts w:ascii="Ubuntu Medium" w:cs="Ubuntu Medium" w:eastAsia="Ubuntu Medium" w:hAnsi="Ubuntu Medium"/>
          <w:rtl w:val="0"/>
        </w:rPr>
        <w:t xml:space="preserve">INSTRUCTIONS - </w:t>
      </w:r>
      <w:r w:rsidDel="00000000" w:rsidR="00000000" w:rsidRPr="00000000">
        <w:rPr>
          <w:rFonts w:ascii="Ubuntu Medium" w:cs="Ubuntu Medium" w:eastAsia="Ubuntu Medium" w:hAnsi="Ubuntu Medium"/>
          <w:rtl w:val="0"/>
        </w:rPr>
        <w:t xml:space="preserve">GRILLE D'ÉVALUATION INDIVIDUELLE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/>
      </w:pPr>
      <w:bookmarkStart w:colFirst="0" w:colLast="0" w:name="_7ww6uya5yuw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spacing w:after="0" w:lineRule="auto"/>
        <w:rPr/>
      </w:pPr>
      <w:bookmarkStart w:colFirst="0" w:colLast="0" w:name="_yjfv4aisurt5" w:id="10"/>
      <w:bookmarkEnd w:id="10"/>
      <w:r w:rsidDel="00000000" w:rsidR="00000000" w:rsidRPr="00000000">
        <w:rPr>
          <w:rtl w:val="0"/>
        </w:rPr>
        <w:t xml:space="preserve">Mode d’emploi : </w:t>
      </w:r>
    </w:p>
    <w:p w:rsidR="00000000" w:rsidDel="00000000" w:rsidP="00000000" w:rsidRDefault="00000000" w:rsidRPr="00000000" w14:paraId="0000000C">
      <w:pPr>
        <w:spacing w:before="0" w:lineRule="auto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rPr/>
      </w:pPr>
      <w:r w:rsidDel="00000000" w:rsidR="00000000" w:rsidRPr="00000000">
        <w:rPr>
          <w:rtl w:val="0"/>
        </w:rPr>
        <w:t xml:space="preserve">La grille d’évaluation individuelle regroupe les critères d’évaluations pour les compétences visées d’un titre. Elle doit être complétée et signée par les membres du jury à l’issue de la performance du⋅de la candidat⋅e.</w:t>
      </w:r>
    </w:p>
    <w:p w:rsidR="00000000" w:rsidDel="00000000" w:rsidP="00000000" w:rsidRDefault="00000000" w:rsidRPr="00000000" w14:paraId="0000000E">
      <w:pPr>
        <w:spacing w:before="0" w:lineRule="auto"/>
        <w:rPr/>
      </w:pPr>
      <w:r w:rsidDel="00000000" w:rsidR="00000000" w:rsidRPr="00000000">
        <w:rPr>
          <w:rtl w:val="0"/>
        </w:rPr>
        <w:t xml:space="preserve">Elle permet d’attester de l’acquisition complète ou partielle du titre par le⋅a candidat⋅e.</w:t>
      </w:r>
    </w:p>
    <w:p w:rsidR="00000000" w:rsidDel="00000000" w:rsidP="00000000" w:rsidRDefault="00000000" w:rsidRPr="00000000" w14:paraId="0000000F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Rule="auto"/>
        <w:rPr/>
      </w:pPr>
      <w:r w:rsidDel="00000000" w:rsidR="00000000" w:rsidRPr="00000000">
        <w:rPr>
          <w:rtl w:val="0"/>
        </w:rPr>
        <w:t xml:space="preserve">---------</w:t>
      </w:r>
    </w:p>
    <w:p w:rsidR="00000000" w:rsidDel="00000000" w:rsidP="00000000" w:rsidRDefault="00000000" w:rsidRPr="00000000" w14:paraId="00000011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  <w:t xml:space="preserve">Les grilles </w:t>
      </w:r>
      <w:r w:rsidDel="00000000" w:rsidR="00000000" w:rsidRPr="00000000">
        <w:rPr>
          <w:rtl w:val="0"/>
        </w:rPr>
        <w:t xml:space="preserve">complétées et signées, pour tous les candidat⋅e⋅s, doivent être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transmises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au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responsable de session. </w:t>
        <w:br w:type="textWrapping"/>
      </w:r>
      <w:r w:rsidDel="00000000" w:rsidR="00000000" w:rsidRPr="00000000">
        <w:rPr>
          <w:rtl w:val="0"/>
        </w:rPr>
        <w:t xml:space="preserve">Les originaux doivent être conservés dans les fabriques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pendant une période illimitée (</w:t>
      </w:r>
      <w:r w:rsidDel="00000000" w:rsidR="00000000" w:rsidRPr="00000000">
        <w:rPr>
          <w:rFonts w:ascii="Ubuntu" w:cs="Ubuntu" w:eastAsia="Ubuntu" w:hAnsi="Ubuntu"/>
          <w:b w:val="1"/>
          <w:i w:val="1"/>
          <w:rtl w:val="0"/>
        </w:rPr>
        <w:t xml:space="preserve">conservés a minima sur la durée de  validité de la certification).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Ces grilles doivent être partagées par le⋅a responsable de session 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Rule="auto"/>
        <w:ind w:left="720" w:hanging="360"/>
        <w:rPr>
          <w:rFonts w:ascii="Ubuntu Light" w:cs="Ubuntu Light" w:eastAsia="Ubuntu Light" w:hAnsi="Ubuntu Light"/>
          <w:sz w:val="22"/>
          <w:szCs w:val="22"/>
        </w:rPr>
      </w:pPr>
      <w:r w:rsidDel="00000000" w:rsidR="00000000" w:rsidRPr="00000000">
        <w:rPr>
          <w:rtl w:val="0"/>
        </w:rPr>
        <w:t xml:space="preserve">À tous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les membres du jury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jour de la certification</w:t>
      </w:r>
      <w:r w:rsidDel="00000000" w:rsidR="00000000" w:rsidRPr="00000000">
        <w:rPr>
          <w:rtl w:val="0"/>
        </w:rPr>
        <w:t xml:space="preserve">, en nombre suffisant en fonction du nombre de candidat⋅e⋅s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Rule="auto"/>
        <w:ind w:left="720" w:hanging="360"/>
        <w:rPr>
          <w:rFonts w:ascii="Ubuntu Light" w:cs="Ubuntu Light" w:eastAsia="Ubuntu Light" w:hAnsi="Ubuntu Light"/>
          <w:sz w:val="22"/>
          <w:szCs w:val="22"/>
        </w:rPr>
      </w:pPr>
      <w:r w:rsidDel="00000000" w:rsidR="00000000" w:rsidRPr="00000000">
        <w:rPr>
          <w:rtl w:val="0"/>
        </w:rPr>
        <w:t xml:space="preserve">aux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apprenants</w:t>
      </w:r>
      <w:r w:rsidDel="00000000" w:rsidR="00000000" w:rsidRPr="00000000">
        <w:rPr>
          <w:rtl w:val="0"/>
        </w:rPr>
        <w:t xml:space="preserve">, au plus tard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avant la fin de </w:t>
      </w:r>
      <w:r w:rsidDel="00000000" w:rsidR="00000000" w:rsidRPr="00000000">
        <w:rPr>
          <w:rFonts w:ascii="Ubuntu" w:cs="Ubuntu" w:eastAsia="Ubuntu" w:hAnsi="Ubuntu"/>
          <w:b w:val="1"/>
          <w:i w:val="1"/>
          <w:rtl w:val="0"/>
        </w:rPr>
        <w:t xml:space="preserve">la prairie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0" w:lineRule="auto"/>
        <w:ind w:left="720" w:hanging="360"/>
        <w:rPr>
          <w:rFonts w:ascii="Ubuntu Light" w:cs="Ubuntu Light" w:eastAsia="Ubuntu Light" w:hAnsi="Ubuntu Light"/>
          <w:sz w:val="22"/>
          <w:szCs w:val="22"/>
        </w:rPr>
      </w:pPr>
      <w:r w:rsidDel="00000000" w:rsidR="00000000" w:rsidRPr="00000000">
        <w:rPr>
          <w:rFonts w:ascii="Ubuntu Light" w:cs="Ubuntu Light" w:eastAsia="Ubuntu Light" w:hAnsi="Ubuntu Light"/>
          <w:sz w:val="22"/>
          <w:szCs w:val="22"/>
          <w:rtl w:val="0"/>
        </w:rPr>
        <w:t xml:space="preserve">aux </w:t>
      </w:r>
      <w:r w:rsidDel="00000000" w:rsidR="00000000" w:rsidRPr="00000000">
        <w:rPr>
          <w:rFonts w:ascii="Ubuntu" w:cs="Ubuntu" w:eastAsia="Ubuntu" w:hAnsi="Ubuntu"/>
          <w:b w:val="1"/>
          <w:sz w:val="22"/>
          <w:szCs w:val="22"/>
          <w:rtl w:val="0"/>
        </w:rPr>
        <w:t xml:space="preserve">formateurs</w:t>
      </w:r>
      <w:r w:rsidDel="00000000" w:rsidR="00000000" w:rsidRPr="00000000">
        <w:rPr>
          <w:rFonts w:ascii="Ubuntu Light" w:cs="Ubuntu Light" w:eastAsia="Ubuntu Light" w:hAnsi="Ubuntu Light"/>
          <w:sz w:val="22"/>
          <w:szCs w:val="22"/>
          <w:rtl w:val="0"/>
        </w:rPr>
        <w:t xml:space="preserve">, à minima </w:t>
      </w:r>
      <w:r w:rsidDel="00000000" w:rsidR="00000000" w:rsidRPr="00000000">
        <w:rPr>
          <w:rFonts w:ascii="Ubuntu" w:cs="Ubuntu" w:eastAsia="Ubuntu" w:hAnsi="Ubuntu"/>
          <w:b w:val="1"/>
          <w:sz w:val="22"/>
          <w:szCs w:val="22"/>
          <w:rtl w:val="0"/>
        </w:rPr>
        <w:t xml:space="preserve">deux semaines avant le lancement de la promotion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center"/>
        <w:rPr>
          <w:rFonts w:ascii="Ubuntu Medium" w:cs="Ubuntu Medium" w:eastAsia="Ubuntu Medium" w:hAnsi="Ubuntu Medium"/>
        </w:rPr>
      </w:pPr>
      <w:bookmarkStart w:colFirst="0" w:colLast="0" w:name="_jnnh30nlzqjt" w:id="11"/>
      <w:bookmarkEnd w:id="11"/>
      <w:r w:rsidDel="00000000" w:rsidR="00000000" w:rsidRPr="00000000">
        <w:rPr>
          <w:rFonts w:ascii="Ubuntu Medium" w:cs="Ubuntu Medium" w:eastAsia="Ubuntu Medium" w:hAnsi="Ubuntu Medium"/>
          <w:rtl w:val="0"/>
        </w:rPr>
        <w:t xml:space="preserve">Grille d’évaluation individuelle </w:t>
      </w:r>
    </w:p>
    <w:p w:rsidR="00000000" w:rsidDel="00000000" w:rsidP="00000000" w:rsidRDefault="00000000" w:rsidRPr="00000000" w14:paraId="00000019">
      <w:pPr>
        <w:pStyle w:val="Title"/>
        <w:rPr/>
      </w:pPr>
      <w:bookmarkStart w:colFirst="0" w:colLast="0" w:name="_y9nicjimz0ue" w:id="12"/>
      <w:bookmarkEnd w:id="12"/>
      <w:r w:rsidDel="00000000" w:rsidR="00000000" w:rsidRPr="00000000">
        <w:rPr>
          <w:rFonts w:ascii="Ubuntu Light" w:cs="Ubuntu Light" w:eastAsia="Ubuntu Light" w:hAnsi="Ubuntu Light"/>
          <w:rtl w:val="0"/>
        </w:rPr>
        <w:t xml:space="preserve">Développeur en intelligence artificielle n°RNCP 34757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Date session : 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Nom du candidat :</w:t>
      </w:r>
    </w:p>
    <w:p w:rsidR="00000000" w:rsidDel="00000000" w:rsidP="00000000" w:rsidRDefault="00000000" w:rsidRPr="00000000" w14:paraId="0000001D">
      <w:pPr>
        <w:spacing w:after="200" w:lineRule="auto"/>
        <w:rPr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Prenom du candidat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1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4695"/>
        <w:gridCol w:w="5535"/>
        <w:gridCol w:w="1785"/>
        <w:tblGridChange w:id="0">
          <w:tblGrid>
            <w:gridCol w:w="3120"/>
            <w:gridCol w:w="4695"/>
            <w:gridCol w:w="5535"/>
            <w:gridCol w:w="17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Compétence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Attendu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Critère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Acquis / 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Non acquis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A1. Développer la gestion des données analytiques d’un projet d’application : </w:t>
            </w: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RNCP34757BC01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C1. Qualifier les données grâce à des outils d’analyse et de visualisation de données en vue de vérifier leur adéquation avec le projet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lister les données identifiées nécessaires et disponibles,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valider les sources de données en fonction des résultats de l’analyse exploratoire,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produire les visualisations synthétisant les caractéristiques du jeu de données.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données présentées répondent au besoin fonctionnel et sont disponibles,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données retenues suite à l’analyse exploratoire sont pertinentes : l’utilité des attributs est démontrée,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visualisations rendent compte de l’analyse effectuées,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visualisations sont cohérentes et explicitées.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C2. Concevoir une base de données analytique avec l’approche orientée requêtes en vue de la mise à disposition des données pour un traitement analytique ou d’intelligence artificielle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décrire la stratégie de nettoyage des données définie,</w:t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produire les éléments de modélisation des données,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identifier le ou les systèmes de gestion de bases de données analytique  adaptés à la modélisation des données,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décrire la procédure de mise en place du système de gestion de base de données analytique.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stratégie de nettoyage présentée est cohérente avec les résultats de l’analyse exploratoire,</w:t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modélisation des données respecte une formalisation dans une approche orientée requêtes,</w:t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modélisation comprend : les patterns de requêtes, les clés primaires, les indexes, les entités (collections, ou documents, etc. en fonction de la base de données),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dans le cas d’une base de données NoSQL*, les relations, s’il y en a, respectent les méthodes standards : embedding* ou encore referencing* par exemple,</w:t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base de donnée est choisie au regard de la modélisation des données et des contraintes du projet,</w:t>
            </w:r>
          </w:p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procédure de mise en place décrit les étapes à suivre,</w:t>
            </w:r>
          </w:p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résultat de l’exécution de la procédure est un système de gestion de base de données conforme à la modélisation.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C3. Programmer l’import de données initiales nécessaires au projet en base de données, afin de les rendre exploitables par un tiers, dans un langage de programmation adapté et à partir de la stratégie de nettoyage des données préalablement définie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 script d’insertion des données dans le système de gestion de base de données.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Le script fourni est fonctionnel : il permet l’insertion des données dans le système mis en place.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A2. Développer un programme d'intelligence artificielle : RNCP34757BC02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C4. Préparer les données disponibles depuis la base de données analytique en vue de leur utilisation par les algorithmes d’intelligence artificielle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 code source permettant le requêtage et la préparation des données,</w:t>
            </w:r>
          </w:p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un exemple de résultat obtenu à l’issue de l’exécution du script.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code source permet le requêtage des données depuis le système de gestion de bases de données analytique,</w:t>
            </w:r>
          </w:p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code source permet la bonne préparation des données,</w:t>
            </w:r>
          </w:p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l’exemple de résultat fourni est représentatif des données attendues en sortie de script</w:t>
            </w:r>
          </w:p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l'exécution du code source génère des données cohérentes avec l’exemple fourni.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C5. Concevoir le programme d’intelligence artificielle adapté aux données disponibles afin de répondre aux objectifs fonctionnels du projet, à l’aide des algorithmes, outils et méthodes standards, notamment de machine learning et de deep 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justifier le choix d’un algorithme (par exemple de machine learning ou de deep learning) au regard des objectifs du projet et des données disponibles,</w:t>
            </w:r>
          </w:p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sélectionner les outils adaptés à l’implémentation de l’intelligence artificielle.</w:t>
            </w:r>
          </w:p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Formaliser, dans le cas d’un algorithme de machine learning ou de deep learning, la méthode d'entraînement et/ou de surentraînement.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choix de l’algorithme est justifié : le type d’algorithme est cohérent avec les données disponibles et le besoin fonctionnel,</w:t>
            </w:r>
          </w:p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choix des outils est pertinent au regard des fonctionnalités, des données, et du besoin en prédiction, interprétation et/ou classification,</w:t>
            </w:r>
          </w:p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méthode d'entraînement, dans le cas d’un algorithme de machine learning est complète et comprend toutes les étapes nécessaires à l’apprentissage : partitionnement des données, méthode de validation.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C6. Développer le programme d’intelligence artificielle selon les données du projet et les éléments de conception définis, en exploitant les algorithmes et les outils standards couramment utilisés dans le domaine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alimenter l’intelligence artificielle avec les données disponibles. Justifier, dans le cas du machine learning, la méthodologie utilisée pour le partitionnement des données et l'entraînement,</w:t>
            </w:r>
          </w:p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Programmer et assembler les composants de l’intelligence artificielle,</w:t>
            </w:r>
          </w:p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les résultats des tests de performance.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programme d’intelligence artificielle fonctionne comme attendu,</w:t>
            </w:r>
          </w:p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programme d’intelligence artificielle permet de répondre aux attentes fonctionnelles en intelligence artificielle,</w:t>
            </w:r>
          </w:p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résultats des tests de performance de l’intelligence artificielle sont présentés et interprétés correctement.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C7. Développer l’interaction entre les fonctionnalités de l’application et l’intelligence artificielle dans le respect des objectifs visés et des bonnes pratiques du domaine.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</w:t>
            </w:r>
          </w:p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justifier la méthodologie d’interaction avec le modèle d’intelligence artificielle,</w:t>
            </w:r>
          </w:p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les tests et le code.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L’interaction avec l’intelligence artificielle répond au besoin,</w:t>
            </w:r>
          </w:p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tests et le code associé couvrent le besoin fonctionnel,,</w:t>
            </w:r>
          </w:p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tests sont exécutés avec succès</w:t>
            </w:r>
          </w:p>
          <w:p w:rsidR="00000000" w:rsidDel="00000000" w:rsidP="00000000" w:rsidRDefault="00000000" w:rsidRPr="00000000" w14:paraId="0000008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 besoin fonctionnel est couvert.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8A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C8. Modifier les paramètres et composants de l’intelligence artificielle afin d’ajuster aux objectifs du projet les capacités fonctionnelles de l’algorithme à l’aide de techniques d’optimisation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Sur la base d’un cas réel ou fictif d’amélioration d’un programme d’IA existant, le/la candidat(e) doit : </w:t>
            </w:r>
          </w:p>
          <w:p w:rsidR="00000000" w:rsidDel="00000000" w:rsidP="00000000" w:rsidRDefault="00000000" w:rsidRPr="00000000" w14:paraId="0000008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interpréter les indicateurs de performance de l’intelligence artificielle disponibles,</w:t>
            </w:r>
          </w:p>
          <w:p w:rsidR="00000000" w:rsidDel="00000000" w:rsidP="00000000" w:rsidRDefault="00000000" w:rsidRPr="00000000" w14:paraId="0000008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à partir des éléments d’interprétation, définir les caractéristiques des améliorations à apporter,</w:t>
            </w:r>
          </w:p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intégrer les améliorations à l'algorithme d’intelligence artificielle.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synthèse produite permet de constater le niveau de performance de l'algorithme d’intelligence artificielle,</w:t>
            </w:r>
          </w:p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la synthèse permet d’identifier les éléments à améliorer,</w:t>
            </w:r>
          </w:p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modifications d’amélioration envisagées et présentées sont cohérentes avec les conclusion de l’analyse préalable,</w:t>
            </w:r>
          </w:p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améliorations sont intégrées,</w:t>
            </w:r>
          </w:p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les modifications intégrées ont effectivement amélioré le niveau de performance de l’intelligence artificielle.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compétence évaluée dans le respect des modalités de l’évaluation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z w:val="18"/>
                <w:szCs w:val="18"/>
                <w:rtl w:val="0"/>
              </w:rPr>
              <w:t xml:space="preserve">E2</w:t>
            </w:r>
          </w:p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9A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A3. Développer une application d’intelligence artificielle : RNCP34757BC03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C9. Analyser un besoin en développement d’application mettant en oeuvre des techniques d'intelligence artificielle afin de produire les éléments de réponses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</w:t>
            </w:r>
          </w:p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produire les éléments (documents, schémas…) de formalisation des fonctionnalités de l’application,</w:t>
            </w:r>
          </w:p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schématiser l’architecture de l’application,</w:t>
            </w:r>
          </w:p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choisir les outils nécessaires à la réalisation des fonctionnalités de l’application,</w:t>
            </w:r>
          </w:p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choisir les outils nécessaires à la réalisation des interfaces,</w:t>
            </w:r>
          </w:p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formaliser la méthode de gestion de projet qui sera utilisée tout au long du projet. </w:t>
            </w:r>
          </w:p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spécifications fonctionnelles sont rédigées,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schéma fonctionnel couvre l’ensemble du périmètre fonctionnel du besoin exprimé,</w:t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L’architecture est cohérente : elle comprend le découpage en couches et modules de l'application, les responsabilités de chaque module et la nature et la structure des relations entre modules,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choix des outils est argumenté et répond aux contraintes du projet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La présentation de la gestion de projet comprend : les rôles, les outils, les rituels et l’argumentaire sur la bonne adéquation de la méthode retenue avec le contexte du projet.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AF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B1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C10. Concevoir une base de données relationnelle à l’aide de méthodes standards de modélisation de données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B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modéliser la ou les structures des données sous forme de schémas standards,</w:t>
            </w:r>
          </w:p>
          <w:p w:rsidR="00000000" w:rsidDel="00000000" w:rsidP="00000000" w:rsidRDefault="00000000" w:rsidRPr="00000000" w14:paraId="000000B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identifier le ou les systèmes de stockage adaptés à la modélisation des données,</w:t>
            </w:r>
          </w:p>
          <w:p w:rsidR="00000000" w:rsidDel="00000000" w:rsidP="00000000" w:rsidRDefault="00000000" w:rsidRPr="00000000" w14:paraId="000000B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décrire la procédure de mise en place du système de gestion de base de données.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outils et les méthodes utilisés pour définir le modèle de données sont explicités en fonction de leur nature,</w:t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la modélisation des données respecte les standards de formalisation de base de données relationnelle,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jointures de la modélisation sont explicitées,</w:t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choix des jointures est justifié,</w:t>
            </w:r>
          </w:p>
          <w:p w:rsidR="00000000" w:rsidDel="00000000" w:rsidP="00000000" w:rsidRDefault="00000000" w:rsidRPr="00000000" w14:paraId="000000B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ou les systèmes de gestion de base de données est choisi au regard de la modélisation des données et des contraintes du projet,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la procédure de mise en place décrit les étapes à suivre,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résultat de l’exécution de la procédure est un système de gestion de base de données conforme à la modélisation.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C0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C2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C11. Développer les requêtes et les composants d'accès aux données dans un langage adapté afin de persister et mettre à jour les données issues de l’application en base de données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</w:t>
            </w:r>
          </w:p>
          <w:p w:rsidR="00000000" w:rsidDel="00000000" w:rsidP="00000000" w:rsidRDefault="00000000" w:rsidRPr="00000000" w14:paraId="000000C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les requêtes nécessaires au besoin fonctionnel,</w:t>
            </w:r>
          </w:p>
          <w:p w:rsidR="00000000" w:rsidDel="00000000" w:rsidP="00000000" w:rsidRDefault="00000000" w:rsidRPr="00000000" w14:paraId="000000C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 code des composants d’accès aux données.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L’ensemble des requêtes nécessaires sont fournies,</w:t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l’exécution des requêtes ne retourne aucune erreur,</w:t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code permet l’accès à l’ensemble des requêtes nécessaires,</w:t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l’exécution du code retourne les données attendues.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CD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CF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C12. Développer le back-end de l’application d’intelligence artificielle dans le respect des spécifications fonctionnelles et des bonnes pratiques du domaine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D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développer les composants serveur,</w:t>
            </w:r>
          </w:p>
          <w:p w:rsidR="00000000" w:rsidDel="00000000" w:rsidP="00000000" w:rsidRDefault="00000000" w:rsidRPr="00000000" w14:paraId="000000D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intégrer les services tiers et les composants d’accès aux données,</w:t>
            </w:r>
          </w:p>
          <w:p w:rsidR="00000000" w:rsidDel="00000000" w:rsidP="00000000" w:rsidRDefault="00000000" w:rsidRPr="00000000" w14:paraId="000000D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assurer la bonne gestion des droits et des accès à l’application,</w:t>
            </w:r>
          </w:p>
          <w:p w:rsidR="00000000" w:rsidDel="00000000" w:rsidP="00000000" w:rsidRDefault="00000000" w:rsidRPr="00000000" w14:paraId="000000D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réaliser les tests automatisés de l’application.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 Les composants serveurs sont développés et sont fonctionnels,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éventuels services tiers sont intégrés à l’application et fonctionnent correctement,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droits et les accès sont correctement paramétrés en accord avec les besoins métiers,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tests sont développés et cohérents,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tests sont exécutés avec succès.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DD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DF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C13. Développer le front-end* de l’application d’intelligence artificielle à partir de maquettes et du parcours utilisateur⋅rice, dans le respect des objectifs visés et des bonnes pratiques du domaine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E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produire les interfaces et les mises en pages attendues,</w:t>
            </w:r>
          </w:p>
          <w:p w:rsidR="00000000" w:rsidDel="00000000" w:rsidP="00000000" w:rsidRDefault="00000000" w:rsidRPr="00000000" w14:paraId="000000E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développer les fonctionnalités front-end.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interfaces sont développés et conformes aux maquettes,</w:t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fonctionnalités développées sont conformes au parcours utilisateur⋅rice.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E8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EA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C14. Améliorer l’application d’intelligence artificielle en développant une évolution fonctionnelle pour répondre à un besoin exprimé par un client ou un utilisateur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Sur la base d’un cas réel ou fictif d’amélioration d’une application existante, le/la candidat(e) doit : </w:t>
            </w:r>
          </w:p>
          <w:p w:rsidR="00000000" w:rsidDel="00000000" w:rsidP="00000000" w:rsidRDefault="00000000" w:rsidRPr="00000000" w14:paraId="000000E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communiquer une estimation de charge au regard du besoin d’évolution,</w:t>
            </w:r>
          </w:p>
          <w:p w:rsidR="00000000" w:rsidDel="00000000" w:rsidP="00000000" w:rsidRDefault="00000000" w:rsidRPr="00000000" w14:paraId="000000E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intégrer une évolution fonctionnelle,</w:t>
            </w:r>
          </w:p>
          <w:p w:rsidR="00000000" w:rsidDel="00000000" w:rsidP="00000000" w:rsidRDefault="00000000" w:rsidRPr="00000000" w14:paraId="000000E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tester la non régression de l’application suite à l’intégration de l’évolution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L’estimation est argumentée sur des critères techniques. Les arguments sont cohérents,</w:t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L’évolution fonctionnelle intégrée répond au besoin : elle se comporte comme attendu</w:t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tests de régression du socle critique sont définis,</w:t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tests de régression passent.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compétence évaluée dans le respect des modalités de l’évaluation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z w:val="18"/>
                <w:szCs w:val="18"/>
                <w:rtl w:val="0"/>
              </w:rPr>
              <w:t xml:space="preserve">E2</w:t>
            </w:r>
          </w:p>
          <w:p w:rsidR="00000000" w:rsidDel="00000000" w:rsidP="00000000" w:rsidRDefault="00000000" w:rsidRPr="00000000" w14:paraId="000000F5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0F7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0F9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C15. Maintenir l’application d’intelligence artificielle à l’aide des techniques de monitorage afin de détecter et corriger les éventuels dysfonctionnements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0F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identifier les éléments et parties critiques de l’application à monitorer,</w:t>
            </w:r>
          </w:p>
          <w:p w:rsidR="00000000" w:rsidDel="00000000" w:rsidP="00000000" w:rsidRDefault="00000000" w:rsidRPr="00000000" w14:paraId="000000F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fournir les indicateurs nécessaire à la future analyse des journaux,</w:t>
            </w:r>
          </w:p>
          <w:p w:rsidR="00000000" w:rsidDel="00000000" w:rsidP="00000000" w:rsidRDefault="00000000" w:rsidRPr="00000000" w14:paraId="000000F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réaliser l’intégration technique des éléments de monitorage nécessaires,</w:t>
            </w:r>
          </w:p>
          <w:p w:rsidR="00000000" w:rsidDel="00000000" w:rsidP="00000000" w:rsidRDefault="00000000" w:rsidRPr="00000000" w14:paraId="000000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intégrer un système d’alertes automatisées,</w:t>
            </w:r>
          </w:p>
          <w:p w:rsidR="00000000" w:rsidDel="00000000" w:rsidP="00000000" w:rsidRDefault="00000000" w:rsidRPr="00000000" w14:paraId="0000010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formaliser la procédure de débogage de l’application.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éléments et parties de l’application considérés comme critiques sont cohérents avec le scope fonctionnel de l’application,</w:t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indicateurs de monitorage sont explicités et appliqués aux parties critiques préalablement identifiées,</w:t>
            </w:r>
          </w:p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système de monitorage est intégré et fonctionnel,</w:t>
            </w:r>
          </w:p>
          <w:p w:rsidR="00000000" w:rsidDel="00000000" w:rsidP="00000000" w:rsidRDefault="00000000" w:rsidRPr="00000000" w14:paraId="0000010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journaux sont organisés et stockés selon les bonnes pratiques du domaine,</w:t>
            </w:r>
          </w:p>
          <w:p w:rsidR="00000000" w:rsidDel="00000000" w:rsidP="00000000" w:rsidRDefault="00000000" w:rsidRPr="00000000" w14:paraId="0000010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un système d’alerte (e-mail, notification…) automatique est configuré et fonctionnel. Les alertes sont déclenchées sur la base des indicateurs préalablement définis,</w:t>
            </w:r>
          </w:p>
          <w:p w:rsidR="00000000" w:rsidDel="00000000" w:rsidP="00000000" w:rsidRDefault="00000000" w:rsidRPr="00000000" w14:paraId="0000010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informations contenues dans les journaux sont comprises et analysées correctement.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A4. Gérer un projet de développement d’application : RNCP34757BC04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C16. Planifier les actions du projet à l’aide d’un outil adapté afin de prévoir la complétion du projet dans les temps impartis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1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évaluer les moyens nécessaires pour atteindre les objectifs du projet,</w:t>
            </w:r>
          </w:p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fixer les étapes de réalisation du projet,</w:t>
            </w:r>
          </w:p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Déterminer les durées et les marges de chaque étape,</w:t>
            </w:r>
          </w:p>
          <w:p w:rsidR="00000000" w:rsidDel="00000000" w:rsidP="00000000" w:rsidRDefault="00000000" w:rsidRPr="00000000" w14:paraId="000001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définir les méthodes de suivi associées,</w:t>
            </w:r>
          </w:p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réaliser un planning à l’aide d’un outil adapté.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- Le planning établi est présenté de façon argumentée  : il  justifie les livrables, les délais et les marges de chaque travail,</w:t>
            </w:r>
          </w:p>
          <w:p w:rsidR="00000000" w:rsidDel="00000000" w:rsidP="00000000" w:rsidRDefault="00000000" w:rsidRPr="00000000" w14:paraId="0000011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planning est un outil de communication simple et visuel : il est adopté par l’ensemble des interlocuteur.rice.s concernés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C17. Concevoir un système de veille technologique permettant de collecter, classifier et analyser l’information afin d’améliorer la prise de décisions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À partir d’un sujet donné, Le/la candidat(e) doit :</w:t>
            </w:r>
          </w:p>
          <w:p w:rsidR="00000000" w:rsidDel="00000000" w:rsidP="00000000" w:rsidRDefault="00000000" w:rsidRPr="00000000" w14:paraId="000001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réaliser un état de l’art des méthodologies et outils en explicitant le choix des sources,</w:t>
            </w:r>
          </w:p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proposer une analyse de la fiabilité des sources utilisées.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Un état de l’art des méthodologies et outils existants est dressé sur la thématique donnée,</w:t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une analyse de cet état de l’art est exposée.</w:t>
            </w:r>
          </w:p>
          <w:p w:rsidR="00000000" w:rsidDel="00000000" w:rsidP="00000000" w:rsidRDefault="00000000" w:rsidRPr="00000000" w14:paraId="0000012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une conclusion technique en fonction de cet état de l’art et de l’analyse est proposé,</w:t>
            </w:r>
          </w:p>
          <w:p w:rsidR="00000000" w:rsidDel="00000000" w:rsidP="00000000" w:rsidRDefault="00000000" w:rsidRPr="00000000" w14:paraId="0000012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sources, canaux et fréquences sont identifiés dans la méthodologie de collecte,</w:t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La fiabilité des sources d'information est évaluée.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compétence évaluée dans le respect des modalités de l’évaluation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z w:val="18"/>
                <w:szCs w:val="18"/>
                <w:rtl w:val="0"/>
              </w:rPr>
              <w:t xml:space="preserve">E3</w:t>
            </w:r>
          </w:p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jc w:val="center"/>
              <w:rPr>
                <w:rFonts w:ascii="Ubuntu" w:cs="Ubuntu" w:eastAsia="Ubuntu" w:hAnsi="Ubuntu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12C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C18. Communiquer avec les parties prenantes afin de rendre compte de l'avancement du projet en mettant en oeuvre les canaux de communication nécessaires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cadre d’un projet, à partir d’un besoin exprimé, le/la candidat(e) doit : </w:t>
            </w:r>
          </w:p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répondre aux questionnements des différent.e.s interlocuteur.rice.s,</w:t>
            </w:r>
          </w:p>
          <w:p w:rsidR="00000000" w:rsidDel="00000000" w:rsidP="00000000" w:rsidRDefault="00000000" w:rsidRPr="00000000" w14:paraId="000001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adapter son langage à son interlocuteur.rice,</w:t>
            </w:r>
          </w:p>
          <w:p w:rsidR="00000000" w:rsidDel="00000000" w:rsidP="00000000" w:rsidRDefault="00000000" w:rsidRPr="00000000" w14:paraId="000001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rédiger un compte rendu d’avancement.</w:t>
            </w:r>
          </w:p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compte rendu d’avancement est rédigé régulièrement : il est présenté dans son état à trois temporalités différentes,</w:t>
            </w:r>
          </w:p>
          <w:p w:rsidR="00000000" w:rsidDel="00000000" w:rsidP="00000000" w:rsidRDefault="00000000" w:rsidRPr="00000000" w14:paraId="0000013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 le rapport d’avancement rend compte de l’état du projet,</w:t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les sollicitations des interlocuteur.rice.s reçoivent des réponses adaptées,</w:t>
            </w:r>
          </w:p>
          <w:p w:rsidR="00000000" w:rsidDel="00000000" w:rsidP="00000000" w:rsidRDefault="00000000" w:rsidRPr="00000000" w14:paraId="0000013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le vocabulaire utilisé dans les supports de communication est  adapté au destinataire.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ACQUIS</w:t>
            </w:r>
          </w:p>
          <w:p w:rsidR="00000000" w:rsidDel="00000000" w:rsidP="00000000" w:rsidRDefault="00000000" w:rsidRPr="00000000" w14:paraId="0000013A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425.1968503937013" w:hanging="283.4645669291342"/>
              <w:rPr>
                <w:rFonts w:ascii="Ubuntu Light" w:cs="Ubuntu Light" w:eastAsia="Ubuntu Light" w:hAnsi="Ubuntu Light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18"/>
                <w:szCs w:val="18"/>
                <w:rtl w:val="0"/>
              </w:rPr>
              <w:t xml:space="preserve">NON ACQUIS </w:t>
            </w:r>
          </w:p>
          <w:p w:rsidR="00000000" w:rsidDel="00000000" w:rsidP="00000000" w:rsidRDefault="00000000" w:rsidRPr="00000000" w14:paraId="0000013C">
            <w:pPr>
              <w:widowControl w:val="0"/>
              <w:spacing w:before="0" w:line="240" w:lineRule="auto"/>
              <w:rPr>
                <w:rFonts w:ascii="Ubuntu" w:cs="Ubuntu" w:eastAsia="Ubuntu" w:hAnsi="Ubuntu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51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38"/>
        <w:tblGridChange w:id="0">
          <w:tblGrid>
            <w:gridCol w:w="151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0" w:lineRule="auto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Décision du jury </w:t>
            </w:r>
            <w:r w:rsidDel="00000000" w:rsidR="00000000" w:rsidRPr="00000000">
              <w:rPr>
                <w:rtl w:val="0"/>
              </w:rPr>
              <w:t xml:space="preserve">(entourer la mention utile)</w:t>
            </w:r>
          </w:p>
          <w:p w:rsidR="00000000" w:rsidDel="00000000" w:rsidP="00000000" w:rsidRDefault="00000000" w:rsidRPr="00000000" w14:paraId="0000014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Admis     -    Non admis   -  Admission partielle</w:t>
            </w:r>
          </w:p>
          <w:p w:rsidR="00000000" w:rsidDel="00000000" w:rsidP="00000000" w:rsidRDefault="00000000" w:rsidRPr="00000000" w14:paraId="0000014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before="0"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commentaires 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optionnel,</w:t>
            </w:r>
            <w:r w:rsidDel="00000000" w:rsidR="00000000" w:rsidRPr="00000000">
              <w:rPr>
                <w:rtl w:val="0"/>
              </w:rPr>
              <w:t xml:space="preserve"> à renseigner obligatoirement si admission partielle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spacing w:before="0"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……………………...……………………...……………………...……………………...……………………...</w:t>
            </w:r>
          </w:p>
          <w:p w:rsidR="00000000" w:rsidDel="00000000" w:rsidP="00000000" w:rsidRDefault="00000000" w:rsidRPr="00000000" w14:paraId="00000147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……………………...……………………...……………………...……………………...……………………...</w:t>
            </w:r>
          </w:p>
          <w:p w:rsidR="00000000" w:rsidDel="00000000" w:rsidP="00000000" w:rsidRDefault="00000000" w:rsidRPr="00000000" w14:paraId="00000148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……………………...……………………...……………………...……………………...……………………...</w:t>
            </w:r>
          </w:p>
          <w:p w:rsidR="00000000" w:rsidDel="00000000" w:rsidP="00000000" w:rsidRDefault="00000000" w:rsidRPr="00000000" w14:paraId="00000149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……………………...……………………...……………………...……………………...……………………...</w:t>
            </w:r>
          </w:p>
          <w:p w:rsidR="00000000" w:rsidDel="00000000" w:rsidP="00000000" w:rsidRDefault="00000000" w:rsidRPr="00000000" w14:paraId="0000014A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……………………...……………………...……………………...……………………...……………………...</w:t>
            </w:r>
          </w:p>
          <w:p w:rsidR="00000000" w:rsidDel="00000000" w:rsidP="00000000" w:rsidRDefault="00000000" w:rsidRPr="00000000" w14:paraId="0000014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Détails des blocs acquis en cas de validation partielle </w:t>
            </w:r>
            <w:r w:rsidDel="00000000" w:rsidR="00000000" w:rsidRPr="00000000">
              <w:rPr>
                <w:rtl w:val="0"/>
              </w:rPr>
              <w:t xml:space="preserve">(à renseigner obligatoirement si admission partielle)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spacing w:before="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0" w:line="240" w:lineRule="auto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Dates et signatures</w:t>
            </w:r>
            <w:r w:rsidDel="00000000" w:rsidR="00000000" w:rsidRPr="00000000">
              <w:rPr>
                <w:rtl w:val="0"/>
              </w:rPr>
              <w:t xml:space="preserve">  de l’ensemble des membres du jury</w:t>
            </w:r>
          </w:p>
          <w:p w:rsidR="00000000" w:rsidDel="00000000" w:rsidP="00000000" w:rsidRDefault="00000000" w:rsidRPr="00000000" w14:paraId="0000015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1906" w:w="16838" w:orient="landscape"/>
      <w:pgMar w:bottom="850.3937007874016" w:top="850.3937007874016" w:left="850.3937007874016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jc w:val="right"/>
      <w:rPr>
        <w:color w:val="434343"/>
        <w:sz w:val="20"/>
        <w:szCs w:val="20"/>
      </w:rPr>
    </w:pPr>
    <w:r w:rsidDel="00000000" w:rsidR="00000000" w:rsidRPr="00000000">
      <w:rPr>
        <w:color w:val="434343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434343"/>
        <w:sz w:val="20"/>
        <w:szCs w:val="20"/>
        <w:rtl w:val="0"/>
      </w:rPr>
      <w:t xml:space="preserve">/</w:t>
    </w:r>
    <w:r w:rsidDel="00000000" w:rsidR="00000000" w:rsidRPr="00000000">
      <w:rPr>
        <w:color w:val="434343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spacing w:before="0" w:lineRule="auto"/>
      <w:rPr/>
    </w:pPr>
    <w:r w:rsidDel="00000000" w:rsidR="00000000" w:rsidRPr="00000000">
      <w:rPr>
        <w:rtl w:val="0"/>
      </w:rPr>
    </w:r>
  </w:p>
  <w:tbl>
    <w:tblPr>
      <w:tblStyle w:val="Table3"/>
      <w:tblW w:w="15105.0" w:type="dxa"/>
      <w:jc w:val="left"/>
      <w:tblInd w:w="100.0" w:type="pct"/>
      <w:tblLayout w:type="fixed"/>
      <w:tblLook w:val="0600"/>
    </w:tblPr>
    <w:tblGrid>
      <w:gridCol w:w="8040"/>
      <w:gridCol w:w="7065"/>
      <w:tblGridChange w:id="0">
        <w:tblGrid>
          <w:gridCol w:w="8040"/>
          <w:gridCol w:w="7065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5B">
          <w:pPr>
            <w:widowControl w:val="0"/>
            <w:spacing w:before="0" w:line="240" w:lineRule="auto"/>
            <w:rPr/>
          </w:pPr>
          <w:r w:rsidDel="00000000" w:rsidR="00000000" w:rsidRPr="00000000">
            <w:rPr>
              <w:rtl w:val="0"/>
            </w:rPr>
            <w:t xml:space="preserve">[Développeur en intelligence artificielle] Grille d'évaluation individuelle de certification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5C">
          <w:pPr>
            <w:spacing w:before="0" w:lineRule="auto"/>
            <w:jc w:val="right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-66674</wp:posOffset>
                </wp:positionV>
                <wp:extent cx="845888" cy="336789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888" cy="336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15D">
    <w:pPr>
      <w:spacing w:after="200" w:before="0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rFonts w:ascii="Arial" w:cs="Arial" w:eastAsia="Arial" w:hAnsi="Arial"/>
        <w:b w:val="0"/>
        <w:sz w:val="22"/>
        <w:szCs w:val="22"/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 Light" w:cs="Ubuntu Light" w:eastAsia="Ubuntu Light" w:hAnsi="Ubuntu Light"/>
        <w:sz w:val="22"/>
        <w:szCs w:val="22"/>
        <w:lang w:val="fr"/>
      </w:rPr>
    </w:rPrDefault>
    <w:pPrDefault>
      <w:pPr>
        <w:spacing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Ubuntu" w:cs="Ubuntu" w:eastAsia="Ubuntu" w:hAnsi="Ubuntu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Ubuntu" w:cs="Ubuntu" w:eastAsia="Ubuntu" w:hAnsi="Ubuntu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Ubuntu Medium" w:cs="Ubuntu Medium" w:eastAsia="Ubuntu Medium" w:hAnsi="Ubuntu Medium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Light-regular.ttf"/><Relationship Id="rId2" Type="http://schemas.openxmlformats.org/officeDocument/2006/relationships/font" Target="fonts/UbuntuLight-bold.ttf"/><Relationship Id="rId3" Type="http://schemas.openxmlformats.org/officeDocument/2006/relationships/font" Target="fonts/UbuntuLight-italic.ttf"/><Relationship Id="rId4" Type="http://schemas.openxmlformats.org/officeDocument/2006/relationships/font" Target="fonts/UbuntuLight-boldItalic.ttf"/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2" Type="http://schemas.openxmlformats.org/officeDocument/2006/relationships/font" Target="fonts/UbuntuMedium-boldItalic.ttf"/><Relationship Id="rId9" Type="http://schemas.openxmlformats.org/officeDocument/2006/relationships/font" Target="fonts/UbuntuMedium-regular.ttf"/><Relationship Id="rId5" Type="http://schemas.openxmlformats.org/officeDocument/2006/relationships/font" Target="fonts/Ubuntu-regular.ttf"/><Relationship Id="rId6" Type="http://schemas.openxmlformats.org/officeDocument/2006/relationships/font" Target="fonts/Ubuntu-bold.ttf"/><Relationship Id="rId7" Type="http://schemas.openxmlformats.org/officeDocument/2006/relationships/font" Target="fonts/Ubuntu-italic.ttf"/><Relationship Id="rId8" Type="http://schemas.openxmlformats.org/officeDocument/2006/relationships/font" Target="fonts/Ubuntu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