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A4D3AB" w14:textId="4EB8DAE8" w:rsidR="00084E6D" w:rsidRPr="00C81D12" w:rsidRDefault="00084E6D" w:rsidP="000A35A9">
      <w:pPr>
        <w:pStyle w:val="Caption"/>
        <w:jc w:val="both"/>
        <w:outlineLvl w:val="0"/>
        <w:rPr>
          <w:rFonts w:cstheme="majorBidi"/>
          <w:b/>
          <w:sz w:val="24"/>
        </w:rPr>
      </w:pPr>
      <w:bookmarkStart w:id="0" w:name="_GoBack"/>
      <w:bookmarkEnd w:id="0"/>
      <w:r w:rsidRPr="00C81D12">
        <w:rPr>
          <w:rFonts w:cstheme="majorBidi"/>
          <w:b/>
          <w:sz w:val="24"/>
        </w:rPr>
        <w:t>Supplementary Materials</w:t>
      </w:r>
    </w:p>
    <w:p w14:paraId="1EB4480E" w14:textId="053EE805" w:rsidR="006C24CD" w:rsidRPr="00C81D12" w:rsidRDefault="006C24CD" w:rsidP="00135470">
      <w:pPr>
        <w:pStyle w:val="Caption"/>
        <w:jc w:val="both"/>
        <w:rPr>
          <w:rFonts w:cstheme="majorBidi"/>
        </w:rPr>
      </w:pPr>
      <w:r w:rsidRPr="00C81D12">
        <w:rPr>
          <w:rFonts w:cstheme="majorBidi"/>
          <w:noProof/>
          <w:lang w:bidi="ar-SA"/>
        </w:rPr>
        <w:drawing>
          <wp:inline distT="0" distB="0" distL="0" distR="0" wp14:anchorId="0F3141F8" wp14:editId="32D49629">
            <wp:extent cx="6179648" cy="2377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79648" cy="2377440"/>
                    </a:xfrm>
                    <a:prstGeom prst="rect">
                      <a:avLst/>
                    </a:prstGeom>
                    <a:noFill/>
                  </pic:spPr>
                </pic:pic>
              </a:graphicData>
            </a:graphic>
          </wp:inline>
        </w:drawing>
      </w:r>
    </w:p>
    <w:p w14:paraId="763F59D4" w14:textId="076DB081" w:rsidR="00C81D12" w:rsidRPr="00C81D12" w:rsidRDefault="009D4F3D" w:rsidP="00EF61B8">
      <w:pPr>
        <w:pStyle w:val="Caption"/>
        <w:jc w:val="both"/>
        <w:rPr>
          <w:rFonts w:cstheme="majorBidi"/>
        </w:rPr>
      </w:pPr>
      <w:r w:rsidRPr="00C81D12">
        <w:rPr>
          <w:rFonts w:cstheme="majorBidi"/>
        </w:rPr>
        <w:t>Figure S.</w:t>
      </w:r>
      <w:r w:rsidR="00084E6D" w:rsidRPr="00C81D12">
        <w:rPr>
          <w:rFonts w:cstheme="majorBidi"/>
        </w:rPr>
        <w:t xml:space="preserve"> </w:t>
      </w:r>
      <w:r w:rsidR="00C81D12" w:rsidRPr="00C81D12">
        <w:rPr>
          <w:rFonts w:cstheme="majorBidi"/>
        </w:rPr>
        <w:t>1</w:t>
      </w:r>
      <w:r w:rsidRPr="00C81D12">
        <w:rPr>
          <w:rFonts w:cstheme="majorBidi"/>
        </w:rPr>
        <w:t xml:space="preserve">. </w:t>
      </w:r>
      <w:r w:rsidR="003F72A6" w:rsidRPr="00C81D12">
        <w:rPr>
          <w:rFonts w:cstheme="majorBidi"/>
        </w:rPr>
        <w:t>The SWC time series</w:t>
      </w:r>
      <w:r w:rsidR="002946B0" w:rsidRPr="00C81D12">
        <w:rPr>
          <w:rFonts w:cstheme="majorBidi"/>
        </w:rPr>
        <w:t xml:space="preserve"> </w:t>
      </w:r>
      <w:r w:rsidR="000E551D" w:rsidRPr="00C81D12">
        <w:rPr>
          <w:rFonts w:cstheme="majorBidi"/>
        </w:rPr>
        <w:t>(</w:t>
      </w:r>
      <w:r w:rsidR="00947981" w:rsidRPr="00C81D12">
        <w:rPr>
          <w:rFonts w:cstheme="majorBidi"/>
        </w:rPr>
        <w:t xml:space="preserve">the </w:t>
      </w:r>
      <w:r w:rsidR="000E551D" w:rsidRPr="00C81D12">
        <w:rPr>
          <w:rFonts w:cstheme="majorBidi"/>
        </w:rPr>
        <w:t>first row),</w:t>
      </w:r>
      <w:r w:rsidR="003F72A6" w:rsidRPr="00C81D12">
        <w:rPr>
          <w:rFonts w:cstheme="majorBidi"/>
        </w:rPr>
        <w:t xml:space="preserve"> </w:t>
      </w:r>
      <w:r w:rsidR="002946B0" w:rsidRPr="00C81D12">
        <w:rPr>
          <w:rFonts w:cstheme="majorBidi"/>
        </w:rPr>
        <w:t xml:space="preserve">and </w:t>
      </w:r>
      <w:r w:rsidR="0074362F" w:rsidRPr="00C81D12">
        <w:rPr>
          <w:rFonts w:cstheme="majorBidi"/>
        </w:rPr>
        <w:t>frequency</w:t>
      </w:r>
      <w:r w:rsidR="002F7785" w:rsidRPr="00C81D12">
        <w:rPr>
          <w:rFonts w:cstheme="majorBidi"/>
        </w:rPr>
        <w:t xml:space="preserve"> spectrum</w:t>
      </w:r>
      <w:r w:rsidR="002946B0" w:rsidRPr="00C81D12">
        <w:rPr>
          <w:rFonts w:cstheme="majorBidi"/>
        </w:rPr>
        <w:t xml:space="preserve"> </w:t>
      </w:r>
      <w:r w:rsidR="000E551D" w:rsidRPr="00C81D12">
        <w:rPr>
          <w:rFonts w:cstheme="majorBidi"/>
        </w:rPr>
        <w:t>(</w:t>
      </w:r>
      <w:r w:rsidR="00947981" w:rsidRPr="00C81D12">
        <w:rPr>
          <w:rFonts w:cstheme="majorBidi"/>
        </w:rPr>
        <w:t xml:space="preserve">the </w:t>
      </w:r>
      <w:r w:rsidR="000E551D" w:rsidRPr="00C81D12">
        <w:rPr>
          <w:rFonts w:cstheme="majorBidi"/>
        </w:rPr>
        <w:t>second row),</w:t>
      </w:r>
      <w:r w:rsidR="002946B0" w:rsidRPr="00C81D12">
        <w:rPr>
          <w:rFonts w:cstheme="majorBidi"/>
        </w:rPr>
        <w:t xml:space="preserve"> </w:t>
      </w:r>
      <w:r w:rsidR="003F72A6" w:rsidRPr="00C81D12">
        <w:rPr>
          <w:rFonts w:cstheme="majorBidi"/>
        </w:rPr>
        <w:t xml:space="preserve">computed using rectangular window for the two time series </w:t>
      </w:r>
      <m:oMath>
        <m:r>
          <w:rPr>
            <w:rFonts w:ascii="Cambria Math" w:hAnsi="Cambria Math" w:cstheme="majorBidi"/>
          </w:rPr>
          <m:t>x=</m:t>
        </m:r>
        <m:r>
          <m:rPr>
            <m:sty m:val="p"/>
          </m:rPr>
          <w:rPr>
            <w:rFonts w:ascii="Cambria Math" w:hAnsi="Cambria Math" w:cstheme="majorBidi"/>
          </w:rPr>
          <m:t>cos⁡(2π</m:t>
        </m:r>
        <m:r>
          <w:rPr>
            <w:rFonts w:ascii="Cambria Math" w:hAnsi="Cambria Math" w:cstheme="majorBidi"/>
          </w:rPr>
          <m:t>ft)</m:t>
        </m:r>
      </m:oMath>
      <w:r w:rsidR="00947981" w:rsidRPr="00C81D12">
        <w:rPr>
          <w:rFonts w:cstheme="majorBidi"/>
        </w:rPr>
        <w:t xml:space="preserve">, </w:t>
      </w:r>
      <w:r w:rsidR="003F72A6" w:rsidRPr="00C81D12">
        <w:rPr>
          <w:rFonts w:cstheme="majorBidi"/>
        </w:rPr>
        <w:t>and</w:t>
      </w:r>
      <w:r w:rsidR="00947981" w:rsidRPr="00C81D12">
        <w:rPr>
          <w:rFonts w:cstheme="majorBidi"/>
        </w:rPr>
        <w:t xml:space="preserve"> </w:t>
      </w:r>
      <m:oMath>
        <m:r>
          <w:rPr>
            <w:rFonts w:ascii="Cambria Math" w:hAnsi="Cambria Math" w:cstheme="majorBidi"/>
          </w:rPr>
          <m:t>y=</m:t>
        </m:r>
        <m:r>
          <m:rPr>
            <m:sty m:val="p"/>
          </m:rPr>
          <w:rPr>
            <w:rFonts w:ascii="Cambria Math" w:hAnsi="Cambria Math" w:cstheme="majorBidi"/>
          </w:rPr>
          <m:t>cos⁡(2π</m:t>
        </m:r>
        <m:r>
          <w:rPr>
            <w:rFonts w:ascii="Cambria Math" w:hAnsi="Cambria Math" w:cstheme="majorBidi"/>
          </w:rPr>
          <m:t>ft+φ)</m:t>
        </m:r>
      </m:oMath>
      <w:r w:rsidR="003F72A6" w:rsidRPr="00C81D12">
        <w:rPr>
          <w:rFonts w:cstheme="majorBidi"/>
        </w:rPr>
        <w:t xml:space="preserve">, where </w:t>
      </w:r>
      <m:oMath>
        <m:r>
          <w:rPr>
            <w:rFonts w:ascii="Cambria Math" w:hAnsi="Cambria Math" w:cstheme="majorBidi"/>
          </w:rPr>
          <m:t>f=0.02</m:t>
        </m:r>
      </m:oMath>
      <w:r w:rsidR="003F72A6" w:rsidRPr="00C81D12">
        <w:rPr>
          <w:rFonts w:cstheme="majorBidi"/>
        </w:rPr>
        <w:t xml:space="preserve"> and </w:t>
      </w:r>
      <m:oMath>
        <m:r>
          <w:rPr>
            <w:rFonts w:ascii="Cambria Math" w:hAnsi="Cambria Math" w:cstheme="majorBidi"/>
          </w:rPr>
          <m:t>φ=π/3</m:t>
        </m:r>
      </m:oMath>
      <w:r w:rsidR="00E43809" w:rsidRPr="00C81D12">
        <w:rPr>
          <w:rFonts w:cstheme="majorBidi"/>
        </w:rPr>
        <w:t xml:space="preserve">. </w:t>
      </w:r>
      <w:r w:rsidR="00947981" w:rsidRPr="00C81D12">
        <w:rPr>
          <w:rFonts w:cstheme="majorBidi"/>
        </w:rPr>
        <w:t xml:space="preserve">Since </w:t>
      </w:r>
      <w:r w:rsidR="00E43809" w:rsidRPr="00C81D12">
        <w:rPr>
          <w:rFonts w:cstheme="majorBidi"/>
        </w:rPr>
        <w:t xml:space="preserve">these two time series fluctuate at </w:t>
      </w:r>
      <w:r w:rsidR="00470062" w:rsidRPr="00C81D12">
        <w:rPr>
          <w:rFonts w:cstheme="majorBidi"/>
        </w:rPr>
        <w:t>the</w:t>
      </w:r>
      <w:r w:rsidR="00E43809" w:rsidRPr="00C81D12">
        <w:rPr>
          <w:rFonts w:cstheme="majorBidi"/>
        </w:rPr>
        <w:t xml:space="preserve"> same frequency, they should show static correlation. However, sliding window connectivity analysis </w:t>
      </w:r>
      <w:r w:rsidR="001A1495" w:rsidRPr="00C81D12">
        <w:rPr>
          <w:rFonts w:cstheme="majorBidi"/>
        </w:rPr>
        <w:t xml:space="preserve">results in </w:t>
      </w:r>
      <w:r w:rsidR="00E43809" w:rsidRPr="00C81D12">
        <w:rPr>
          <w:rFonts w:cstheme="majorBidi"/>
        </w:rPr>
        <w:t xml:space="preserve">highly dynamic SWC series, for </w:t>
      </w:r>
      <w:r w:rsidR="001A1495" w:rsidRPr="00C81D12">
        <w:rPr>
          <w:rFonts w:cstheme="majorBidi"/>
        </w:rPr>
        <w:t xml:space="preserve">small window lengths, see </w:t>
      </w:r>
      <w:r w:rsidR="00EC26D5" w:rsidRPr="00C81D12">
        <w:rPr>
          <w:rFonts w:cstheme="majorBidi"/>
        </w:rPr>
        <w:t xml:space="preserve">first and second </w:t>
      </w:r>
      <w:r w:rsidR="001A1495" w:rsidRPr="00C81D12">
        <w:rPr>
          <w:rFonts w:cstheme="majorBidi"/>
        </w:rPr>
        <w:t>co</w:t>
      </w:r>
      <w:r w:rsidR="00EC26D5" w:rsidRPr="00C81D12">
        <w:rPr>
          <w:rFonts w:cstheme="majorBidi"/>
        </w:rPr>
        <w:t>lumns</w:t>
      </w:r>
      <w:r w:rsidR="001A1495" w:rsidRPr="00C81D12">
        <w:rPr>
          <w:rFonts w:cstheme="majorBidi"/>
        </w:rPr>
        <w:t xml:space="preserve"> for </w:t>
      </w:r>
      <m:oMath>
        <m:r>
          <w:rPr>
            <w:rFonts w:ascii="Cambria Math" w:hAnsi="Cambria Math" w:cstheme="majorBidi"/>
          </w:rPr>
          <m:t>L∈{13, 17}</m:t>
        </m:r>
      </m:oMath>
      <w:r w:rsidR="00E43809" w:rsidRPr="00C81D12">
        <w:rPr>
          <w:rFonts w:cstheme="majorBidi"/>
        </w:rPr>
        <w:t xml:space="preserve">. </w:t>
      </w:r>
      <w:r w:rsidR="00EC26D5" w:rsidRPr="00C81D12">
        <w:rPr>
          <w:rFonts w:cstheme="majorBidi"/>
        </w:rPr>
        <w:t xml:space="preserve">This is also evident by the corresponding frequency spectrums in which a strong frequency </w:t>
      </w:r>
      <w:r w:rsidR="00805A8E" w:rsidRPr="00C81D12">
        <w:rPr>
          <w:rFonts w:cstheme="majorBidi"/>
        </w:rPr>
        <w:t>component</w:t>
      </w:r>
      <w:r w:rsidR="00EC26D5" w:rsidRPr="00C81D12">
        <w:rPr>
          <w:rFonts w:cstheme="majorBidi"/>
        </w:rPr>
        <w:t xml:space="preserve"> is </w:t>
      </w:r>
      <w:r w:rsidR="00B34726" w:rsidRPr="00C81D12">
        <w:rPr>
          <w:rFonts w:cstheme="majorBidi"/>
        </w:rPr>
        <w:t>present</w:t>
      </w:r>
      <w:r w:rsidR="00EC26D5" w:rsidRPr="00C81D12">
        <w:rPr>
          <w:rFonts w:cstheme="majorBidi"/>
        </w:rPr>
        <w:t xml:space="preserve"> </w:t>
      </w:r>
      <w:r w:rsidR="00B34726" w:rsidRPr="00C81D12">
        <w:rPr>
          <w:rFonts w:cstheme="majorBidi"/>
        </w:rPr>
        <w:t>at</w:t>
      </w:r>
      <w:r w:rsidR="00EC26D5" w:rsidRPr="00C81D12">
        <w:rPr>
          <w:rFonts w:cstheme="majorBidi"/>
        </w:rPr>
        <w:t xml:space="preserve"> 0.045 Hz. </w:t>
      </w:r>
      <w:r w:rsidR="00E43809" w:rsidRPr="00C81D12">
        <w:rPr>
          <w:rFonts w:cstheme="majorBidi"/>
        </w:rPr>
        <w:t xml:space="preserve">This is due to the fact that small window </w:t>
      </w:r>
      <w:r w:rsidR="00947981" w:rsidRPr="00C81D12">
        <w:rPr>
          <w:rFonts w:cstheme="majorBidi"/>
        </w:rPr>
        <w:t>lengths</w:t>
      </w:r>
      <w:r w:rsidR="00E43809" w:rsidRPr="00C81D12">
        <w:rPr>
          <w:rFonts w:cstheme="majorBidi"/>
        </w:rPr>
        <w:t xml:space="preserve"> do not allow </w:t>
      </w:r>
      <w:r w:rsidR="001A1495" w:rsidRPr="00C81D12">
        <w:rPr>
          <w:rFonts w:cstheme="majorBidi"/>
        </w:rPr>
        <w:t>estimating</w:t>
      </w:r>
      <w:r w:rsidR="00E43809" w:rsidRPr="00C81D12">
        <w:rPr>
          <w:rFonts w:cstheme="majorBidi"/>
        </w:rPr>
        <w:t xml:space="preserve"> a </w:t>
      </w:r>
      <w:r w:rsidR="00342B92" w:rsidRPr="00C81D12">
        <w:rPr>
          <w:rFonts w:cstheme="majorBidi"/>
        </w:rPr>
        <w:t>reliable</w:t>
      </w:r>
      <w:r w:rsidR="00E43809" w:rsidRPr="00C81D12">
        <w:rPr>
          <w:rFonts w:cstheme="majorBidi"/>
        </w:rPr>
        <w:t xml:space="preserve"> static measure for </w:t>
      </w:r>
      <w:r w:rsidR="00114CC2" w:rsidRPr="00C81D12">
        <w:rPr>
          <w:rFonts w:cstheme="majorBidi"/>
        </w:rPr>
        <w:t xml:space="preserve">the </w:t>
      </w:r>
      <w:r w:rsidR="00E43809" w:rsidRPr="00C81D12">
        <w:rPr>
          <w:rFonts w:cstheme="majorBidi"/>
        </w:rPr>
        <w:t xml:space="preserve">time series mean and standard </w:t>
      </w:r>
      <w:r w:rsidR="00342B92" w:rsidRPr="00C81D12">
        <w:rPr>
          <w:rFonts w:cstheme="majorBidi"/>
        </w:rPr>
        <w:t>deviation</w:t>
      </w:r>
      <w:r w:rsidR="00E43809" w:rsidRPr="00C81D12">
        <w:rPr>
          <w:rFonts w:cstheme="majorBidi"/>
        </w:rPr>
        <w:t xml:space="preserve"> </w:t>
      </w:r>
      <w:r w:rsidR="00470062" w:rsidRPr="00C81D12">
        <w:rPr>
          <w:rFonts w:cstheme="majorBidi"/>
        </w:rPr>
        <w:t xml:space="preserve">which </w:t>
      </w:r>
      <w:r w:rsidR="00E43809" w:rsidRPr="00C81D12">
        <w:rPr>
          <w:rFonts w:cstheme="majorBidi"/>
        </w:rPr>
        <w:t xml:space="preserve">can affect the SWC </w:t>
      </w:r>
      <w:r w:rsidR="00342B92" w:rsidRPr="00C81D12">
        <w:rPr>
          <w:rFonts w:cstheme="majorBidi"/>
        </w:rPr>
        <w:t>coefficient</w:t>
      </w:r>
      <w:r w:rsidR="00E43809" w:rsidRPr="00C81D12">
        <w:rPr>
          <w:rFonts w:cstheme="majorBidi"/>
        </w:rPr>
        <w:t xml:space="preserve"> measures. These fluctuations actually represent </w:t>
      </w:r>
      <w:r w:rsidR="00135470" w:rsidRPr="00C81D12">
        <w:rPr>
          <w:rFonts w:cstheme="majorBidi"/>
        </w:rPr>
        <w:t xml:space="preserve">the alterations of the time series </w:t>
      </w:r>
      <w:r w:rsidR="00947981" w:rsidRPr="00C81D12">
        <w:rPr>
          <w:rFonts w:cstheme="majorBidi"/>
        </w:rPr>
        <w:t>statistic</w:t>
      </w:r>
      <w:r w:rsidR="00135470" w:rsidRPr="00C81D12">
        <w:rPr>
          <w:rFonts w:cstheme="majorBidi"/>
        </w:rPr>
        <w:t xml:space="preserve">s </w:t>
      </w:r>
      <w:r w:rsidR="009D2EE2" w:rsidRPr="00C81D12">
        <w:rPr>
          <w:rFonts w:cstheme="majorBidi"/>
        </w:rPr>
        <w:t>over</w:t>
      </w:r>
      <w:r w:rsidR="00E43809" w:rsidRPr="00C81D12">
        <w:rPr>
          <w:rFonts w:cstheme="majorBidi"/>
        </w:rPr>
        <w:t xml:space="preserve"> time</w:t>
      </w:r>
      <w:r w:rsidR="001A1495" w:rsidRPr="00C81D12">
        <w:rPr>
          <w:rFonts w:cstheme="majorBidi"/>
        </w:rPr>
        <w:t xml:space="preserve">, </w:t>
      </w:r>
      <w:r w:rsidR="00135470" w:rsidRPr="00C81D12">
        <w:rPr>
          <w:rFonts w:cstheme="majorBidi"/>
        </w:rPr>
        <w:t>not the</w:t>
      </w:r>
      <w:r w:rsidR="00E43809" w:rsidRPr="00C81D12">
        <w:rPr>
          <w:rFonts w:cstheme="majorBidi"/>
        </w:rPr>
        <w:t xml:space="preserve"> real dynamic correlations between the time series</w:t>
      </w:r>
      <w:r w:rsidR="00135470" w:rsidRPr="00C81D12">
        <w:rPr>
          <w:rFonts w:cstheme="majorBidi"/>
        </w:rPr>
        <w:t xml:space="preserve"> (referred </w:t>
      </w:r>
      <w:r w:rsidR="00470062" w:rsidRPr="00C81D12">
        <w:rPr>
          <w:rFonts w:cstheme="majorBidi"/>
        </w:rPr>
        <w:t xml:space="preserve">to </w:t>
      </w:r>
      <w:r w:rsidR="00135470" w:rsidRPr="00C81D12">
        <w:rPr>
          <w:rFonts w:cstheme="majorBidi"/>
        </w:rPr>
        <w:t>as spurious fluctuations)</w:t>
      </w:r>
      <w:r w:rsidR="00E43809" w:rsidRPr="00C81D12">
        <w:rPr>
          <w:rFonts w:cstheme="majorBidi"/>
        </w:rPr>
        <w:t xml:space="preserve">. </w:t>
      </w:r>
      <w:r w:rsidR="00B34726" w:rsidRPr="00C81D12">
        <w:rPr>
          <w:rFonts w:cstheme="majorBidi"/>
        </w:rPr>
        <w:t>We saw</w:t>
      </w:r>
      <w:r w:rsidR="00342B92" w:rsidRPr="00C81D12">
        <w:rPr>
          <w:rFonts w:cstheme="majorBidi"/>
        </w:rPr>
        <w:t xml:space="preserve"> that as window lengths increases, the SWC series approaches to a</w:t>
      </w:r>
      <w:r w:rsidR="001A1495" w:rsidRPr="00C81D12">
        <w:rPr>
          <w:rFonts w:cstheme="majorBidi"/>
        </w:rPr>
        <w:t xml:space="preserve"> </w:t>
      </w:r>
      <w:r w:rsidR="00342B92" w:rsidRPr="00C81D12">
        <w:rPr>
          <w:rFonts w:cstheme="majorBidi"/>
        </w:rPr>
        <w:t>static series, while weak variations are still survived</w:t>
      </w:r>
      <w:r w:rsidR="00EF5E39" w:rsidRPr="00C81D12">
        <w:rPr>
          <w:rFonts w:cstheme="majorBidi"/>
        </w:rPr>
        <w:t xml:space="preserve">. Note that as the window length increases, the rate of the SWC change decreases, such that the difference between </w:t>
      </w:r>
      <w:r w:rsidR="00D163F0" w:rsidRPr="00C81D12">
        <w:rPr>
          <w:rFonts w:cstheme="majorBidi"/>
        </w:rPr>
        <w:t xml:space="preserve">the </w:t>
      </w:r>
      <w:r w:rsidR="00EF5E39" w:rsidRPr="00C81D12">
        <w:rPr>
          <w:rFonts w:cstheme="majorBidi"/>
        </w:rPr>
        <w:t xml:space="preserve">SWC resulted from </w:t>
      </w:r>
      <m:oMath>
        <m:r>
          <w:rPr>
            <w:rFonts w:ascii="Cambria Math" w:hAnsi="Cambria Math" w:cstheme="majorBidi"/>
          </w:rPr>
          <m:t>L=51</m:t>
        </m:r>
      </m:oMath>
      <w:r w:rsidR="00EF5E39" w:rsidRPr="00C81D12">
        <w:rPr>
          <w:rFonts w:cstheme="majorBidi"/>
        </w:rPr>
        <w:t xml:space="preserve"> and </w:t>
      </w:r>
      <m:oMath>
        <m:r>
          <w:rPr>
            <w:rFonts w:ascii="Cambria Math" w:hAnsi="Cambria Math" w:cstheme="majorBidi"/>
          </w:rPr>
          <m:t>L=101</m:t>
        </m:r>
      </m:oMath>
      <w:r w:rsidR="00B34726" w:rsidRPr="00C81D12">
        <w:rPr>
          <w:rFonts w:cstheme="majorBidi"/>
        </w:rPr>
        <w:t>, is barely</w:t>
      </w:r>
      <w:r w:rsidR="00EF5E39" w:rsidRPr="00C81D12">
        <w:rPr>
          <w:rFonts w:cstheme="majorBidi"/>
        </w:rPr>
        <w:t xml:space="preserve"> visible.</w:t>
      </w:r>
      <w:r w:rsidR="001A1495" w:rsidRPr="00C81D12">
        <w:rPr>
          <w:rFonts w:cstheme="majorBidi"/>
        </w:rPr>
        <w:t xml:space="preserve"> </w:t>
      </w:r>
      <w:r w:rsidR="00342B92" w:rsidRPr="00C81D12">
        <w:rPr>
          <w:rFonts w:cstheme="majorBidi"/>
        </w:rPr>
        <w:t>Thus</w:t>
      </w:r>
      <w:r w:rsidR="00D163F0" w:rsidRPr="00C81D12">
        <w:rPr>
          <w:rFonts w:cstheme="majorBidi"/>
        </w:rPr>
        <w:t>,</w:t>
      </w:r>
      <w:r w:rsidR="00342B92" w:rsidRPr="00C81D12">
        <w:rPr>
          <w:rFonts w:cstheme="majorBidi"/>
        </w:rPr>
        <w:t xml:space="preserve"> for the time </w:t>
      </w:r>
      <w:r w:rsidR="001A1495" w:rsidRPr="00C81D12">
        <w:rPr>
          <w:rFonts w:cstheme="majorBidi"/>
        </w:rPr>
        <w:t>series</w:t>
      </w:r>
      <w:r w:rsidR="00342B92" w:rsidRPr="00C81D12">
        <w:rPr>
          <w:rFonts w:cstheme="majorBidi"/>
        </w:rPr>
        <w:t xml:space="preserve"> with dynamic correlations, we need to choose</w:t>
      </w:r>
      <w:r w:rsidR="00114CC2" w:rsidRPr="00C81D12">
        <w:rPr>
          <w:rFonts w:cstheme="majorBidi"/>
        </w:rPr>
        <w:t xml:space="preserve"> </w:t>
      </w:r>
      <w:r w:rsidR="00342B92" w:rsidRPr="00C81D12">
        <w:rPr>
          <w:rFonts w:cstheme="majorBidi"/>
        </w:rPr>
        <w:t xml:space="preserve">the window length in order to </w:t>
      </w:r>
      <w:r w:rsidR="00D163F0" w:rsidRPr="00C81D12">
        <w:rPr>
          <w:rFonts w:cstheme="majorBidi"/>
        </w:rPr>
        <w:t>make a balance in removing</w:t>
      </w:r>
      <w:r w:rsidR="00342B92" w:rsidRPr="00C81D12">
        <w:rPr>
          <w:rFonts w:cstheme="majorBidi"/>
        </w:rPr>
        <w:t xml:space="preserve"> the spurious SWC fluctuations while maintain</w:t>
      </w:r>
      <w:r w:rsidR="00D163F0" w:rsidRPr="00C81D12">
        <w:rPr>
          <w:rFonts w:cstheme="majorBidi"/>
        </w:rPr>
        <w:t>ing</w:t>
      </w:r>
      <w:r w:rsidR="00342B92" w:rsidRPr="00C81D12">
        <w:rPr>
          <w:rFonts w:cstheme="majorBidi"/>
        </w:rPr>
        <w:t xml:space="preserve"> the real dynamic correlations. </w:t>
      </w:r>
      <w:r w:rsidR="00480C6E" w:rsidRPr="00C81D12">
        <w:rPr>
          <w:rFonts w:cstheme="majorBidi"/>
        </w:rPr>
        <w:t>T</w:t>
      </w:r>
      <w:r w:rsidR="009D2EE2" w:rsidRPr="00C81D12">
        <w:rPr>
          <w:rFonts w:cstheme="majorBidi"/>
        </w:rPr>
        <w:t>he spurious fluctuations may not be removed</w:t>
      </w:r>
      <w:r w:rsidR="000E6FA1" w:rsidRPr="00C81D12">
        <w:rPr>
          <w:rFonts w:cstheme="majorBidi"/>
        </w:rPr>
        <w:t xml:space="preserve"> completely for </w:t>
      </w:r>
      <w:r w:rsidR="00D539DB" w:rsidRPr="00C81D12">
        <w:rPr>
          <w:rFonts w:cstheme="majorBidi"/>
        </w:rPr>
        <w:t xml:space="preserve">the </w:t>
      </w:r>
      <w:r w:rsidR="000E6FA1" w:rsidRPr="00C81D12">
        <w:rPr>
          <w:rFonts w:cstheme="majorBidi"/>
        </w:rPr>
        <w:t xml:space="preserve">fMRI time series that </w:t>
      </w:r>
      <w:r w:rsidR="00D539DB" w:rsidRPr="00C81D12">
        <w:rPr>
          <w:rFonts w:cstheme="majorBidi"/>
        </w:rPr>
        <w:t>possess a wide-band</w:t>
      </w:r>
      <w:r w:rsidR="000E6FA1" w:rsidRPr="00C81D12">
        <w:rPr>
          <w:rFonts w:cstheme="majorBidi"/>
        </w:rPr>
        <w:t xml:space="preserve"> frequency</w:t>
      </w:r>
      <w:r w:rsidR="00D539DB" w:rsidRPr="00C81D12">
        <w:rPr>
          <w:rFonts w:cstheme="majorBidi"/>
        </w:rPr>
        <w:t xml:space="preserve"> spectrum</w:t>
      </w:r>
      <w:r w:rsidR="000E6FA1" w:rsidRPr="00C81D12">
        <w:rPr>
          <w:rFonts w:cstheme="majorBidi"/>
        </w:rPr>
        <w:t>,</w:t>
      </w:r>
      <w:r w:rsidR="000332FF" w:rsidRPr="00C81D12">
        <w:rPr>
          <w:rFonts w:cstheme="majorBidi"/>
        </w:rPr>
        <w:t xml:space="preserve"> as it </w:t>
      </w:r>
      <w:r w:rsidR="00480C6E" w:rsidRPr="00C81D12">
        <w:rPr>
          <w:rFonts w:cstheme="majorBidi"/>
        </w:rPr>
        <w:t xml:space="preserve">would </w:t>
      </w:r>
      <w:r w:rsidR="000332FF" w:rsidRPr="00C81D12">
        <w:rPr>
          <w:rFonts w:cstheme="majorBidi"/>
        </w:rPr>
        <w:t>require long</w:t>
      </w:r>
      <w:r w:rsidR="00ED47D6" w:rsidRPr="00C81D12">
        <w:rPr>
          <w:rFonts w:cstheme="majorBidi"/>
        </w:rPr>
        <w:t>er</w:t>
      </w:r>
      <w:r w:rsidR="000332FF" w:rsidRPr="00C81D12">
        <w:rPr>
          <w:rFonts w:cstheme="majorBidi"/>
        </w:rPr>
        <w:t xml:space="preserve"> windows that </w:t>
      </w:r>
      <w:r w:rsidR="00480C6E" w:rsidRPr="00C81D12">
        <w:rPr>
          <w:rFonts w:cstheme="majorBidi"/>
        </w:rPr>
        <w:t xml:space="preserve">would </w:t>
      </w:r>
      <w:r w:rsidR="000332FF" w:rsidRPr="00C81D12">
        <w:rPr>
          <w:rFonts w:cstheme="majorBidi"/>
        </w:rPr>
        <w:t>eventually lead to</w:t>
      </w:r>
      <w:r w:rsidR="000E6FA1" w:rsidRPr="00C81D12">
        <w:rPr>
          <w:rFonts w:cstheme="majorBidi"/>
        </w:rPr>
        <w:t xml:space="preserve"> static correlation</w:t>
      </w:r>
      <w:r w:rsidR="000332FF" w:rsidRPr="00C81D12">
        <w:rPr>
          <w:rFonts w:cstheme="majorBidi"/>
        </w:rPr>
        <w:t>s</w:t>
      </w:r>
      <w:r w:rsidR="000E6FA1" w:rsidRPr="00C81D12">
        <w:rPr>
          <w:rFonts w:cstheme="majorBidi"/>
        </w:rPr>
        <w:t xml:space="preserve">. </w:t>
      </w:r>
      <w:r w:rsidR="0010123C" w:rsidRPr="00C81D12">
        <w:rPr>
          <w:rFonts w:cstheme="majorBidi"/>
        </w:rPr>
        <w:t xml:space="preserve">It </w:t>
      </w:r>
      <w:r w:rsidR="00F24891" w:rsidRPr="00C81D12">
        <w:rPr>
          <w:rFonts w:cstheme="majorBidi"/>
        </w:rPr>
        <w:t xml:space="preserve">is </w:t>
      </w:r>
      <w:r w:rsidR="0010123C" w:rsidRPr="00C81D12">
        <w:rPr>
          <w:rFonts w:cstheme="majorBidi"/>
        </w:rPr>
        <w:t>also worth mentioning that for this specific example</w:t>
      </w:r>
      <w:r w:rsidR="00F24891" w:rsidRPr="00C81D12">
        <w:rPr>
          <w:rFonts w:cstheme="majorBidi"/>
        </w:rPr>
        <w:t xml:space="preserve"> of static correlation</w:t>
      </w:r>
      <w:r w:rsidR="00EF61B8" w:rsidRPr="00C81D12">
        <w:rPr>
          <w:rFonts w:cstheme="majorBidi"/>
        </w:rPr>
        <w:t xml:space="preserve"> (having time series oscillating at a given frequency)</w:t>
      </w:r>
      <w:r w:rsidR="00F24891" w:rsidRPr="00C81D12">
        <w:rPr>
          <w:rFonts w:cstheme="majorBidi"/>
        </w:rPr>
        <w:t>,</w:t>
      </w:r>
      <w:r w:rsidR="0010123C" w:rsidRPr="00C81D12">
        <w:rPr>
          <w:rFonts w:cstheme="majorBidi"/>
        </w:rPr>
        <w:t xml:space="preserve"> one can </w:t>
      </w:r>
      <w:r w:rsidR="00B34726" w:rsidRPr="00C81D12">
        <w:rPr>
          <w:rFonts w:cstheme="majorBidi"/>
        </w:rPr>
        <w:t>completely eliminate the</w:t>
      </w:r>
      <w:r w:rsidR="0010123C" w:rsidRPr="00C81D12">
        <w:rPr>
          <w:rFonts w:cstheme="majorBidi"/>
        </w:rPr>
        <w:t xml:space="preserve"> weak spurious fluctuations by choosing </w:t>
      </w:r>
      <w:r w:rsidR="00470062" w:rsidRPr="00C81D12">
        <w:rPr>
          <w:rFonts w:cstheme="majorBidi"/>
        </w:rPr>
        <w:t xml:space="preserve">a </w:t>
      </w:r>
      <w:r w:rsidR="0010123C" w:rsidRPr="00C81D12">
        <w:rPr>
          <w:rFonts w:cstheme="majorBidi"/>
        </w:rPr>
        <w:t xml:space="preserve">window size equal to an integer multiplication of </w:t>
      </w:r>
      <w:r w:rsidR="00470062" w:rsidRPr="00C81D12">
        <w:rPr>
          <w:rFonts w:cstheme="majorBidi"/>
        </w:rPr>
        <w:t xml:space="preserve">the </w:t>
      </w:r>
      <w:r w:rsidR="0010123C" w:rsidRPr="00C81D12">
        <w:rPr>
          <w:rFonts w:cstheme="majorBidi"/>
        </w:rPr>
        <w:t xml:space="preserve">time series </w:t>
      </w:r>
      <w:r w:rsidR="00071011" w:rsidRPr="00C81D12">
        <w:rPr>
          <w:rFonts w:cstheme="majorBidi"/>
        </w:rPr>
        <w:t>period</w:t>
      </w:r>
      <w:r w:rsidR="0010123C" w:rsidRPr="00C81D12">
        <w:rPr>
          <w:rFonts w:cstheme="majorBidi"/>
        </w:rPr>
        <w:t xml:space="preserve">. Practically though, since fMRI time series are wideband signals, it is not possible to </w:t>
      </w:r>
      <w:r w:rsidR="00E31BAB" w:rsidRPr="00C81D12">
        <w:rPr>
          <w:rFonts w:cstheme="majorBidi"/>
        </w:rPr>
        <w:t xml:space="preserve">totally </w:t>
      </w:r>
      <w:r w:rsidR="0010123C" w:rsidRPr="00C81D12">
        <w:rPr>
          <w:rFonts w:cstheme="majorBidi"/>
        </w:rPr>
        <w:t>remove the spurious fluctuations from the SWC measures.</w:t>
      </w:r>
    </w:p>
    <w:p w14:paraId="58847553" w14:textId="77777777" w:rsidR="00C81D12" w:rsidRPr="00C81D12" w:rsidRDefault="00C81D12">
      <w:pPr>
        <w:rPr>
          <w:rFonts w:ascii="Cambria" w:eastAsiaTheme="minorEastAsia" w:hAnsi="Cambria" w:cstheme="majorBidi"/>
          <w:bCs/>
          <w:sz w:val="18"/>
          <w:szCs w:val="18"/>
          <w:lang w:bidi="fa-IR"/>
        </w:rPr>
      </w:pPr>
      <w:r w:rsidRPr="00C81D12">
        <w:rPr>
          <w:rFonts w:ascii="Cambria" w:hAnsi="Cambria" w:cstheme="majorBidi"/>
        </w:rPr>
        <w:br w:type="page"/>
      </w:r>
    </w:p>
    <w:p w14:paraId="6C95CBBD" w14:textId="77777777" w:rsidR="00C81D12" w:rsidRPr="00C736A6" w:rsidRDefault="00C81D12" w:rsidP="00C81D12">
      <w:pPr>
        <w:pStyle w:val="NoSpacing"/>
        <w:spacing w:after="0"/>
        <w:jc w:val="center"/>
        <w:rPr>
          <w:rFonts w:cstheme="majorBidi"/>
        </w:rPr>
      </w:pPr>
      <w:r w:rsidRPr="00C736A6">
        <w:rPr>
          <w:rFonts w:cstheme="majorBidi"/>
          <w:noProof/>
        </w:rPr>
        <w:lastRenderedPageBreak/>
        <w:drawing>
          <wp:inline distT="0" distB="0" distL="0" distR="0" wp14:anchorId="66909735" wp14:editId="5405C496">
            <wp:extent cx="2928914" cy="22417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asoning (1).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34546" cy="2246055"/>
                    </a:xfrm>
                    <a:prstGeom prst="rect">
                      <a:avLst/>
                    </a:prstGeom>
                  </pic:spPr>
                </pic:pic>
              </a:graphicData>
            </a:graphic>
          </wp:inline>
        </w:drawing>
      </w:r>
    </w:p>
    <w:p w14:paraId="49B602A7" w14:textId="58BC5F1A" w:rsidR="00C81D12" w:rsidRPr="00C736A6" w:rsidRDefault="00C81D12" w:rsidP="00C81D12">
      <w:pPr>
        <w:pStyle w:val="NoSpacing"/>
        <w:spacing w:after="0"/>
        <w:rPr>
          <w:rFonts w:cstheme="majorBidi"/>
          <w:sz w:val="18"/>
          <w:lang w:bidi="fa-IR"/>
        </w:rPr>
      </w:pPr>
      <w:r w:rsidRPr="00C736A6">
        <w:rPr>
          <w:rFonts w:cstheme="majorBidi"/>
          <w:sz w:val="18"/>
          <w:lang w:bidi="fa-IR"/>
        </w:rPr>
        <w:t xml:space="preserve">Figure S. 2.  The rationale behind the proposed window function. The red curve shows the frequency spectrum of the conventionally used rectangular window with a cutoff frequency of </w:t>
      </w:r>
      <m:oMath>
        <m:sSub>
          <m:sSubPr>
            <m:ctrlPr>
              <w:rPr>
                <w:rFonts w:ascii="Cambria Math" w:hAnsi="Cambria Math" w:cstheme="majorBidi"/>
                <w:i/>
                <w:sz w:val="18"/>
                <w:lang w:bidi="fa-IR"/>
              </w:rPr>
            </m:ctrlPr>
          </m:sSubPr>
          <m:e>
            <m:r>
              <w:rPr>
                <w:rFonts w:ascii="Cambria Math" w:hAnsi="Cambria Math" w:cstheme="majorBidi"/>
                <w:sz w:val="18"/>
                <w:lang w:bidi="fa-IR"/>
              </w:rPr>
              <m:t>f</m:t>
            </m:r>
          </m:e>
          <m:sub>
            <m:r>
              <w:rPr>
                <w:rFonts w:ascii="Cambria Math" w:hAnsi="Cambria Math" w:cstheme="majorBidi"/>
                <w:sz w:val="18"/>
                <w:lang w:bidi="fa-IR"/>
              </w:rPr>
              <m:t>c</m:t>
            </m:r>
          </m:sub>
        </m:sSub>
        <m:r>
          <w:rPr>
            <w:rFonts w:ascii="Cambria Math" w:hAnsi="Cambria Math" w:cstheme="majorBidi"/>
            <w:sz w:val="18"/>
            <w:lang w:bidi="fa-IR"/>
          </w:rPr>
          <m:t>=0.01</m:t>
        </m:r>
      </m:oMath>
      <w:r w:rsidRPr="00C736A6">
        <w:rPr>
          <w:rFonts w:cstheme="majorBidi"/>
          <w:sz w:val="18"/>
          <w:lang w:bidi="fa-IR"/>
        </w:rPr>
        <w:t xml:space="preserve"> Hz. As we discussed in the main document, this window works as a low-pass filter. However, as opposed to an ideal filter which sharply drops at the cutoff frequency, its amplitude drops gradually as frequency increases. To compensate for this effect, we proposed adding a second term which is a modulated rectangular function that results in the green curve shown in the frequency domain. The modulation frequency is equal to the half of the cutoff frequency, i.e. </w:t>
      </w:r>
      <m:oMath>
        <m:sSub>
          <m:sSubPr>
            <m:ctrlPr>
              <w:rPr>
                <w:rFonts w:ascii="Cambria Math" w:hAnsi="Cambria Math" w:cstheme="majorBidi"/>
                <w:i/>
                <w:sz w:val="18"/>
                <w:lang w:bidi="fa-IR"/>
              </w:rPr>
            </m:ctrlPr>
          </m:sSubPr>
          <m:e>
            <m:r>
              <w:rPr>
                <w:rFonts w:ascii="Cambria Math" w:hAnsi="Cambria Math" w:cstheme="majorBidi"/>
                <w:sz w:val="18"/>
                <w:lang w:bidi="fa-IR"/>
              </w:rPr>
              <m:t>f</m:t>
            </m:r>
          </m:e>
          <m:sub>
            <m:r>
              <w:rPr>
                <w:rFonts w:ascii="Cambria Math" w:hAnsi="Cambria Math" w:cstheme="majorBidi"/>
                <w:sz w:val="18"/>
                <w:lang w:bidi="fa-IR"/>
              </w:rPr>
              <m:t>m</m:t>
            </m:r>
          </m:sub>
        </m:sSub>
        <m:r>
          <w:rPr>
            <w:rFonts w:ascii="Cambria Math" w:hAnsi="Cambria Math" w:cstheme="majorBidi"/>
            <w:sz w:val="18"/>
            <w:lang w:bidi="fa-IR"/>
          </w:rPr>
          <m:t>=</m:t>
        </m:r>
        <m:sSub>
          <m:sSubPr>
            <m:ctrlPr>
              <w:rPr>
                <w:rFonts w:ascii="Cambria Math" w:hAnsi="Cambria Math" w:cstheme="majorBidi"/>
                <w:i/>
                <w:sz w:val="18"/>
                <w:lang w:bidi="fa-IR"/>
              </w:rPr>
            </m:ctrlPr>
          </m:sSubPr>
          <m:e>
            <m:r>
              <w:rPr>
                <w:rFonts w:ascii="Cambria Math" w:hAnsi="Cambria Math" w:cstheme="majorBidi"/>
                <w:sz w:val="18"/>
                <w:lang w:bidi="fa-IR"/>
              </w:rPr>
              <m:t>f</m:t>
            </m:r>
          </m:e>
          <m:sub>
            <m:r>
              <w:rPr>
                <w:rFonts w:ascii="Cambria Math" w:hAnsi="Cambria Math" w:cstheme="majorBidi"/>
                <w:sz w:val="18"/>
                <w:lang w:bidi="fa-IR"/>
              </w:rPr>
              <m:t>c</m:t>
            </m:r>
          </m:sub>
        </m:sSub>
        <m:r>
          <w:rPr>
            <w:rFonts w:ascii="Cambria Math" w:hAnsi="Cambria Math" w:cstheme="majorBidi"/>
            <w:sz w:val="18"/>
            <w:lang w:bidi="fa-IR"/>
          </w:rPr>
          <m:t>/2=0.005</m:t>
        </m:r>
      </m:oMath>
      <w:r w:rsidRPr="00C736A6">
        <w:rPr>
          <w:rFonts w:cstheme="majorBidi"/>
          <w:sz w:val="18"/>
          <w:lang w:bidi="fa-IR"/>
        </w:rPr>
        <w:t xml:space="preserve"> Hz. The length of the resulting rectangular window is twice that of the original window which results in decreasing its bandwidth by a factor of 2. This combination results in two scaled sinc functions (the two green peaks that are centered at </w:t>
      </w:r>
      <m:oMath>
        <m:r>
          <w:rPr>
            <w:rFonts w:ascii="Cambria Math" w:hAnsi="Cambria Math" w:cstheme="majorBidi"/>
            <w:sz w:val="18"/>
            <w:lang w:bidi="fa-IR"/>
          </w:rPr>
          <m:t>±</m:t>
        </m:r>
        <m:sSub>
          <m:sSubPr>
            <m:ctrlPr>
              <w:rPr>
                <w:rFonts w:ascii="Cambria Math" w:hAnsi="Cambria Math" w:cstheme="majorBidi"/>
                <w:i/>
                <w:sz w:val="18"/>
                <w:lang w:bidi="fa-IR"/>
              </w:rPr>
            </m:ctrlPr>
          </m:sSubPr>
          <m:e>
            <m:r>
              <w:rPr>
                <w:rFonts w:ascii="Cambria Math" w:hAnsi="Cambria Math" w:cstheme="majorBidi"/>
                <w:sz w:val="18"/>
                <w:lang w:bidi="fa-IR"/>
              </w:rPr>
              <m:t>f</m:t>
            </m:r>
          </m:e>
          <m:sub>
            <m:r>
              <w:rPr>
                <w:rFonts w:ascii="Cambria Math" w:hAnsi="Cambria Math" w:cstheme="majorBidi"/>
                <w:sz w:val="18"/>
                <w:lang w:bidi="fa-IR"/>
              </w:rPr>
              <m:t>c</m:t>
            </m:r>
          </m:sub>
        </m:sSub>
        <m:r>
          <w:rPr>
            <w:rFonts w:ascii="Cambria Math" w:hAnsi="Cambria Math" w:cstheme="majorBidi"/>
            <w:sz w:val="18"/>
            <w:lang w:bidi="fa-IR"/>
          </w:rPr>
          <m:t>/2</m:t>
        </m:r>
      </m:oMath>
      <w:r w:rsidRPr="00C736A6">
        <w:rPr>
          <w:rFonts w:cstheme="majorBidi"/>
          <w:sz w:val="18"/>
          <w:lang w:bidi="fa-IR"/>
        </w:rPr>
        <w:t xml:space="preserve">, with zeros occurring at </w:t>
      </w:r>
      <m:oMath>
        <m:r>
          <w:rPr>
            <w:rFonts w:ascii="Cambria Math" w:hAnsi="Cambria Math" w:cstheme="majorBidi"/>
            <w:sz w:val="18"/>
            <w:lang w:bidi="fa-IR"/>
          </w:rPr>
          <m:t>0</m:t>
        </m:r>
      </m:oMath>
      <w:r w:rsidRPr="00C736A6">
        <w:rPr>
          <w:rFonts w:cstheme="majorBidi"/>
          <w:sz w:val="18"/>
          <w:lang w:bidi="fa-IR"/>
        </w:rPr>
        <w:t xml:space="preserve"> HZ and </w:t>
      </w:r>
      <m:oMath>
        <m:r>
          <w:rPr>
            <w:rFonts w:ascii="Cambria Math" w:hAnsi="Cambria Math" w:cstheme="majorBidi"/>
            <w:sz w:val="18"/>
            <w:lang w:bidi="fa-IR"/>
          </w:rPr>
          <m:t>±</m:t>
        </m:r>
        <m:sSub>
          <m:sSubPr>
            <m:ctrlPr>
              <w:rPr>
                <w:rFonts w:ascii="Cambria Math" w:hAnsi="Cambria Math" w:cstheme="majorBidi"/>
                <w:i/>
                <w:sz w:val="18"/>
                <w:lang w:bidi="fa-IR"/>
              </w:rPr>
            </m:ctrlPr>
          </m:sSubPr>
          <m:e>
            <m:r>
              <w:rPr>
                <w:rFonts w:ascii="Cambria Math" w:hAnsi="Cambria Math" w:cstheme="majorBidi"/>
                <w:sz w:val="18"/>
                <w:lang w:bidi="fa-IR"/>
              </w:rPr>
              <m:t>f</m:t>
            </m:r>
          </m:e>
          <m:sub>
            <m:r>
              <w:rPr>
                <w:rFonts w:ascii="Cambria Math" w:hAnsi="Cambria Math" w:cstheme="majorBidi"/>
                <w:sz w:val="18"/>
                <w:lang w:bidi="fa-IR"/>
              </w:rPr>
              <m:t>c</m:t>
            </m:r>
          </m:sub>
        </m:sSub>
      </m:oMath>
      <w:r w:rsidRPr="00C736A6">
        <w:rPr>
          <w:rFonts w:cstheme="majorBidi"/>
          <w:sz w:val="18"/>
          <w:lang w:bidi="fa-IR"/>
        </w:rPr>
        <w:t>). By adding these two functions and tuning their relative parameters, i.e. amplitude and phase of the modulated terms as explained in the main document, one can compensate for the gradual drop of the rectangular function spectrum. This effect is shown in the purple curve.</w:t>
      </w:r>
    </w:p>
    <w:p w14:paraId="734BD825" w14:textId="77777777" w:rsidR="00C81D12" w:rsidRPr="00C81D12" w:rsidRDefault="00C81D12">
      <w:pPr>
        <w:rPr>
          <w:rFonts w:ascii="Cambria" w:eastAsiaTheme="minorEastAsia" w:hAnsi="Cambria" w:cstheme="majorBidi"/>
          <w:bCs/>
          <w:color w:val="2E74B5" w:themeColor="accent1" w:themeShade="BF"/>
          <w:sz w:val="18"/>
          <w:lang w:bidi="fa-IR"/>
        </w:rPr>
      </w:pPr>
      <w:r w:rsidRPr="00C81D12">
        <w:rPr>
          <w:rFonts w:ascii="Cambria" w:hAnsi="Cambria" w:cstheme="majorBidi"/>
          <w:color w:val="2E74B5" w:themeColor="accent1" w:themeShade="BF"/>
          <w:sz w:val="18"/>
          <w:lang w:bidi="fa-IR"/>
        </w:rPr>
        <w:br w:type="page"/>
      </w:r>
    </w:p>
    <w:p w14:paraId="36CDA3D5" w14:textId="7BD8AA93" w:rsidR="00466AF1" w:rsidRPr="00C81D12" w:rsidRDefault="006C24CD" w:rsidP="003E5FE6">
      <w:pPr>
        <w:pStyle w:val="Caption"/>
        <w:rPr>
          <w:rFonts w:cstheme="majorBidi"/>
        </w:rPr>
      </w:pPr>
      <w:r w:rsidRPr="00C81D12">
        <w:rPr>
          <w:rFonts w:cstheme="majorBidi"/>
          <w:noProof/>
          <w:lang w:bidi="ar-SA"/>
        </w:rPr>
        <w:lastRenderedPageBreak/>
        <w:drawing>
          <wp:inline distT="0" distB="0" distL="0" distR="0" wp14:anchorId="22EB1EAA" wp14:editId="0D9BBCB7">
            <wp:extent cx="6288341" cy="2468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88341" cy="2468880"/>
                    </a:xfrm>
                    <a:prstGeom prst="rect">
                      <a:avLst/>
                    </a:prstGeom>
                    <a:noFill/>
                  </pic:spPr>
                </pic:pic>
              </a:graphicData>
            </a:graphic>
          </wp:inline>
        </w:drawing>
      </w:r>
    </w:p>
    <w:p w14:paraId="13E4B409" w14:textId="77777777" w:rsidR="00466AF1" w:rsidRPr="00C81D12" w:rsidRDefault="00466AF1">
      <w:pPr>
        <w:rPr>
          <w:rFonts w:ascii="Cambria" w:hAnsi="Cambria" w:cstheme="majorBidi"/>
        </w:rPr>
      </w:pPr>
    </w:p>
    <w:p w14:paraId="65F05D36" w14:textId="7A2C5F99" w:rsidR="00466AF1" w:rsidRPr="00C81D12" w:rsidRDefault="00466AF1" w:rsidP="003E5FE6">
      <w:pPr>
        <w:spacing w:line="480" w:lineRule="auto"/>
        <w:rPr>
          <w:rFonts w:ascii="Cambria" w:hAnsi="Cambria" w:cstheme="majorBidi"/>
          <w:sz w:val="18"/>
          <w:szCs w:val="18"/>
        </w:rPr>
      </w:pPr>
      <w:r w:rsidRPr="00C81D12">
        <w:rPr>
          <w:rFonts w:ascii="Cambria" w:hAnsi="Cambria" w:cstheme="majorBidi"/>
          <w:sz w:val="18"/>
          <w:szCs w:val="18"/>
        </w:rPr>
        <w:t xml:space="preserve">Figure S. </w:t>
      </w:r>
      <w:r w:rsidR="00965835">
        <w:rPr>
          <w:rFonts w:ascii="Cambria" w:hAnsi="Cambria" w:cstheme="majorBidi"/>
          <w:sz w:val="18"/>
          <w:szCs w:val="18"/>
        </w:rPr>
        <w:t>3</w:t>
      </w:r>
      <w:r w:rsidRPr="00C81D12">
        <w:rPr>
          <w:rFonts w:ascii="Cambria" w:hAnsi="Cambria" w:cstheme="majorBidi"/>
          <w:sz w:val="18"/>
          <w:szCs w:val="18"/>
        </w:rPr>
        <w:t>. Pointwise mul</w:t>
      </w:r>
      <w:r w:rsidR="00E93FAC" w:rsidRPr="00C81D12">
        <w:rPr>
          <w:rFonts w:ascii="Cambria" w:hAnsi="Cambria" w:cstheme="majorBidi"/>
          <w:sz w:val="18"/>
          <w:szCs w:val="18"/>
        </w:rPr>
        <w:t xml:space="preserve">tiplication and SWC time series </w:t>
      </w:r>
      <w:r w:rsidR="00805A8E" w:rsidRPr="00C81D12">
        <w:rPr>
          <w:rFonts w:ascii="Cambria" w:hAnsi="Cambria" w:cstheme="majorBidi"/>
          <w:sz w:val="18"/>
          <w:szCs w:val="18"/>
        </w:rPr>
        <w:t xml:space="preserve">and frequency spectrums </w:t>
      </w:r>
      <w:r w:rsidR="00E93FAC" w:rsidRPr="00C81D12">
        <w:rPr>
          <w:rFonts w:ascii="Cambria" w:hAnsi="Cambria" w:cstheme="majorBidi"/>
          <w:sz w:val="18"/>
          <w:szCs w:val="18"/>
        </w:rPr>
        <w:t xml:space="preserve">with setting </w:t>
      </w:r>
      <m:oMath>
        <m:r>
          <w:rPr>
            <w:rFonts w:ascii="Cambria Math" w:hAnsi="Cambria Math" w:cstheme="majorBidi"/>
            <w:sz w:val="18"/>
            <w:szCs w:val="18"/>
          </w:rPr>
          <m:t>L=61</m:t>
        </m:r>
      </m:oMath>
      <w:r w:rsidR="00EA6CAF" w:rsidRPr="00C81D12">
        <w:rPr>
          <w:rFonts w:ascii="Cambria" w:eastAsiaTheme="minorEastAsia" w:hAnsi="Cambria" w:cstheme="majorBidi"/>
          <w:sz w:val="18"/>
          <w:szCs w:val="18"/>
        </w:rPr>
        <w:t>; t</w:t>
      </w:r>
      <w:r w:rsidR="009C77EB" w:rsidRPr="00C81D12">
        <w:rPr>
          <w:rFonts w:ascii="Cambria" w:eastAsiaTheme="minorEastAsia" w:hAnsi="Cambria" w:cstheme="majorBidi"/>
          <w:sz w:val="18"/>
          <w:szCs w:val="18"/>
        </w:rPr>
        <w:t xml:space="preserve">he analysis was performed </w:t>
      </w:r>
      <w:r w:rsidR="00E80C8D" w:rsidRPr="00C81D12">
        <w:rPr>
          <w:rFonts w:ascii="Cambria" w:hAnsi="Cambria" w:cstheme="majorBidi"/>
          <w:sz w:val="18"/>
          <w:szCs w:val="18"/>
        </w:rPr>
        <w:t xml:space="preserve">using the four window functions, </w:t>
      </w:r>
      <w:r w:rsidR="00E93FAC" w:rsidRPr="00C81D12">
        <w:rPr>
          <w:rFonts w:ascii="Cambria" w:hAnsi="Cambria" w:cstheme="majorBidi"/>
          <w:sz w:val="18"/>
          <w:szCs w:val="18"/>
        </w:rPr>
        <w:t>with mRect window of length 121</w:t>
      </w:r>
      <w:r w:rsidR="00E80C8D" w:rsidRPr="00C81D12">
        <w:rPr>
          <w:rFonts w:ascii="Cambria" w:hAnsi="Cambria" w:cstheme="majorBidi"/>
          <w:sz w:val="18"/>
          <w:szCs w:val="18"/>
        </w:rPr>
        <w:t>, rectangular</w:t>
      </w:r>
      <w:r w:rsidR="00E93FAC" w:rsidRPr="00C81D12">
        <w:rPr>
          <w:rFonts w:ascii="Cambria" w:hAnsi="Cambria" w:cstheme="majorBidi"/>
          <w:sz w:val="18"/>
          <w:szCs w:val="18"/>
        </w:rPr>
        <w:t xml:space="preserve"> window of length 61, H</w:t>
      </w:r>
      <w:r w:rsidR="00E80C8D" w:rsidRPr="00C81D12">
        <w:rPr>
          <w:rFonts w:ascii="Cambria" w:hAnsi="Cambria" w:cstheme="majorBidi"/>
          <w:sz w:val="18"/>
          <w:szCs w:val="18"/>
        </w:rPr>
        <w:t xml:space="preserve">amming window </w:t>
      </w:r>
      <w:r w:rsidR="00E93FAC" w:rsidRPr="00C81D12">
        <w:rPr>
          <w:rFonts w:ascii="Cambria" w:hAnsi="Cambria" w:cstheme="majorBidi"/>
          <w:sz w:val="18"/>
          <w:szCs w:val="18"/>
        </w:rPr>
        <w:t>of length 121</w:t>
      </w:r>
      <w:r w:rsidR="00E80C8D" w:rsidRPr="00C81D12">
        <w:rPr>
          <w:rFonts w:ascii="Cambria" w:hAnsi="Cambria" w:cstheme="majorBidi"/>
          <w:sz w:val="18"/>
          <w:szCs w:val="18"/>
        </w:rPr>
        <w:t xml:space="preserve"> and </w:t>
      </w:r>
      <w:r w:rsidR="00E93FAC" w:rsidRPr="00C81D12">
        <w:rPr>
          <w:rFonts w:ascii="Cambria" w:hAnsi="Cambria" w:cstheme="majorBidi"/>
          <w:sz w:val="18"/>
          <w:szCs w:val="18"/>
        </w:rPr>
        <w:t xml:space="preserve">Tukey of length 91 time points. Comparing the SWC </w:t>
      </w:r>
      <w:r w:rsidR="0023355D" w:rsidRPr="00C81D12">
        <w:rPr>
          <w:rFonts w:ascii="Cambria" w:hAnsi="Cambria" w:cstheme="majorBidi"/>
          <w:sz w:val="18"/>
          <w:szCs w:val="18"/>
        </w:rPr>
        <w:t>spectrums</w:t>
      </w:r>
      <w:r w:rsidR="00E93FAC" w:rsidRPr="00C81D12">
        <w:rPr>
          <w:rFonts w:ascii="Cambria" w:hAnsi="Cambria" w:cstheme="majorBidi"/>
          <w:sz w:val="18"/>
          <w:szCs w:val="18"/>
        </w:rPr>
        <w:t xml:space="preserve"> with those obtained using </w:t>
      </w:r>
      <m:oMath>
        <m:r>
          <w:rPr>
            <w:rFonts w:ascii="Cambria Math" w:hAnsi="Cambria Math" w:cstheme="majorBidi"/>
            <w:sz w:val="18"/>
            <w:szCs w:val="18"/>
          </w:rPr>
          <m:t>L = 51</m:t>
        </m:r>
      </m:oMath>
      <w:r w:rsidR="00E93FAC" w:rsidRPr="00C81D12">
        <w:rPr>
          <w:rFonts w:ascii="Cambria" w:hAnsi="Cambria" w:cstheme="majorBidi"/>
          <w:sz w:val="18"/>
          <w:szCs w:val="18"/>
        </w:rPr>
        <w:t xml:space="preserve"> time </w:t>
      </w:r>
      <w:r w:rsidR="0023355D" w:rsidRPr="00C81D12">
        <w:rPr>
          <w:rFonts w:ascii="Cambria" w:hAnsi="Cambria" w:cstheme="majorBidi"/>
          <w:sz w:val="18"/>
          <w:szCs w:val="18"/>
        </w:rPr>
        <w:t>points</w:t>
      </w:r>
      <w:r w:rsidR="009C77EB" w:rsidRPr="00C81D12">
        <w:rPr>
          <w:rFonts w:ascii="Cambria" w:hAnsi="Cambria" w:cstheme="majorBidi"/>
          <w:sz w:val="18"/>
          <w:szCs w:val="18"/>
        </w:rPr>
        <w:t xml:space="preserve"> (see</w:t>
      </w:r>
      <w:r w:rsidR="00E93FAC" w:rsidRPr="00C81D12">
        <w:rPr>
          <w:rFonts w:ascii="Cambria" w:hAnsi="Cambria" w:cstheme="majorBidi"/>
          <w:sz w:val="18"/>
          <w:szCs w:val="18"/>
        </w:rPr>
        <w:t xml:space="preserve"> Figure 3 in the main document) </w:t>
      </w:r>
      <w:r w:rsidR="009C77EB" w:rsidRPr="00C81D12">
        <w:rPr>
          <w:rFonts w:ascii="Cambria" w:hAnsi="Cambria" w:cstheme="majorBidi"/>
          <w:sz w:val="18"/>
          <w:szCs w:val="18"/>
        </w:rPr>
        <w:t>suggest</w:t>
      </w:r>
      <w:r w:rsidR="00E93FAC" w:rsidRPr="00C81D12">
        <w:rPr>
          <w:rFonts w:ascii="Cambria" w:hAnsi="Cambria" w:cstheme="majorBidi"/>
          <w:sz w:val="18"/>
          <w:szCs w:val="18"/>
        </w:rPr>
        <w:t>s</w:t>
      </w:r>
      <w:r w:rsidR="00BE7A5A" w:rsidRPr="00C81D12">
        <w:rPr>
          <w:rFonts w:ascii="Cambria" w:hAnsi="Cambria" w:cstheme="majorBidi"/>
          <w:sz w:val="18"/>
          <w:szCs w:val="18"/>
        </w:rPr>
        <w:t xml:space="preserve"> that</w:t>
      </w:r>
      <w:r w:rsidR="00E93FAC" w:rsidRPr="00C81D12">
        <w:rPr>
          <w:rFonts w:ascii="Cambria" w:hAnsi="Cambria" w:cstheme="majorBidi"/>
          <w:sz w:val="18"/>
          <w:szCs w:val="18"/>
        </w:rPr>
        <w:t xml:space="preserve"> although </w:t>
      </w:r>
      <w:r w:rsidR="0023355D" w:rsidRPr="00C81D12">
        <w:rPr>
          <w:rFonts w:ascii="Cambria" w:hAnsi="Cambria" w:cstheme="majorBidi"/>
          <w:sz w:val="18"/>
          <w:szCs w:val="18"/>
        </w:rPr>
        <w:t xml:space="preserve">amplitude of </w:t>
      </w:r>
      <w:r w:rsidR="00EF61B8" w:rsidRPr="00C81D12">
        <w:rPr>
          <w:rFonts w:ascii="Cambria" w:hAnsi="Cambria" w:cstheme="majorBidi"/>
          <w:sz w:val="18"/>
          <w:szCs w:val="18"/>
        </w:rPr>
        <w:t xml:space="preserve">the </w:t>
      </w:r>
      <w:r w:rsidR="00E93FAC" w:rsidRPr="00C81D12">
        <w:rPr>
          <w:rFonts w:ascii="Cambria" w:hAnsi="Cambria" w:cstheme="majorBidi"/>
          <w:sz w:val="18"/>
          <w:szCs w:val="18"/>
        </w:rPr>
        <w:t>spurious fluctuation at 0.004 is reduced by half, the real dynamic correlation</w:t>
      </w:r>
      <w:r w:rsidR="0023355D" w:rsidRPr="00C81D12">
        <w:rPr>
          <w:rFonts w:ascii="Cambria" w:hAnsi="Cambria" w:cstheme="majorBidi"/>
          <w:sz w:val="18"/>
          <w:szCs w:val="18"/>
        </w:rPr>
        <w:t xml:space="preserve"> occurring at </w:t>
      </w:r>
      <w:bookmarkStart w:id="1" w:name="OLE_LINK1"/>
      <w:bookmarkStart w:id="2" w:name="OLE_LINK2"/>
      <w:bookmarkStart w:id="3" w:name="OLE_LINK3"/>
      <m:oMath>
        <m:r>
          <w:rPr>
            <w:rFonts w:ascii="Cambria Math" w:hAnsi="Cambria Math" w:cstheme="majorBidi"/>
            <w:sz w:val="18"/>
            <w:szCs w:val="18"/>
          </w:rPr>
          <m:t>δ</m:t>
        </m:r>
        <m:sSub>
          <m:sSubPr>
            <m:ctrlPr>
              <w:rPr>
                <w:rFonts w:ascii="Cambria Math" w:hAnsi="Cambria Math" w:cstheme="majorBidi"/>
                <w:i/>
                <w:sz w:val="18"/>
                <w:szCs w:val="18"/>
              </w:rPr>
            </m:ctrlPr>
          </m:sSubPr>
          <m:e>
            <m:r>
              <w:rPr>
                <w:rFonts w:ascii="Cambria Math" w:hAnsi="Cambria Math" w:cstheme="majorBidi"/>
                <w:sz w:val="18"/>
                <w:szCs w:val="18"/>
              </w:rPr>
              <m:t>f</m:t>
            </m:r>
          </m:e>
          <m:sub>
            <m:r>
              <w:rPr>
                <w:rFonts w:ascii="Cambria Math" w:hAnsi="Cambria Math" w:cstheme="majorBidi"/>
                <w:sz w:val="18"/>
                <w:szCs w:val="18"/>
              </w:rPr>
              <m:t>2</m:t>
            </m:r>
          </m:sub>
        </m:sSub>
        <m:r>
          <w:rPr>
            <w:rFonts w:ascii="Cambria Math" w:hAnsi="Cambria Math" w:cstheme="majorBidi"/>
            <w:sz w:val="18"/>
            <w:szCs w:val="18"/>
          </w:rPr>
          <m:t>=0.006</m:t>
        </m:r>
      </m:oMath>
      <w:r w:rsidR="009C77EB" w:rsidRPr="00C81D12">
        <w:rPr>
          <w:rFonts w:ascii="Cambria" w:hAnsi="Cambria" w:cstheme="majorBidi"/>
          <w:sz w:val="18"/>
          <w:szCs w:val="18"/>
        </w:rPr>
        <w:t xml:space="preserve"> </w:t>
      </w:r>
      <w:bookmarkEnd w:id="1"/>
      <w:bookmarkEnd w:id="2"/>
      <w:bookmarkEnd w:id="3"/>
      <w:r w:rsidR="0023355D" w:rsidRPr="00C81D12">
        <w:rPr>
          <w:rFonts w:ascii="Cambria" w:hAnsi="Cambria" w:cstheme="majorBidi"/>
          <w:sz w:val="18"/>
          <w:szCs w:val="18"/>
        </w:rPr>
        <w:t>Hz</w:t>
      </w:r>
      <w:r w:rsidR="00E93FAC" w:rsidRPr="00C81D12">
        <w:rPr>
          <w:rFonts w:ascii="Cambria" w:hAnsi="Cambria" w:cstheme="majorBidi"/>
          <w:sz w:val="18"/>
          <w:szCs w:val="18"/>
        </w:rPr>
        <w:t xml:space="preserve"> is</w:t>
      </w:r>
      <w:r w:rsidR="009C77EB" w:rsidRPr="00C81D12">
        <w:rPr>
          <w:rFonts w:ascii="Cambria" w:hAnsi="Cambria" w:cstheme="majorBidi"/>
          <w:sz w:val="18"/>
          <w:szCs w:val="18"/>
        </w:rPr>
        <w:t xml:space="preserve"> also</w:t>
      </w:r>
      <w:r w:rsidR="00E93FAC" w:rsidRPr="00C81D12">
        <w:rPr>
          <w:rFonts w:ascii="Cambria" w:hAnsi="Cambria" w:cstheme="majorBidi"/>
          <w:sz w:val="18"/>
          <w:szCs w:val="18"/>
        </w:rPr>
        <w:t xml:space="preserve"> </w:t>
      </w:r>
      <w:r w:rsidR="0023355D" w:rsidRPr="00C81D12">
        <w:rPr>
          <w:rFonts w:ascii="Cambria" w:hAnsi="Cambria" w:cstheme="majorBidi"/>
          <w:sz w:val="18"/>
          <w:szCs w:val="18"/>
        </w:rPr>
        <w:t xml:space="preserve">reduced </w:t>
      </w:r>
      <w:r w:rsidR="00BE7D60" w:rsidRPr="00C81D12">
        <w:rPr>
          <w:rFonts w:ascii="Cambria" w:hAnsi="Cambria" w:cstheme="majorBidi"/>
          <w:sz w:val="18"/>
          <w:szCs w:val="18"/>
        </w:rPr>
        <w:t xml:space="preserve">with a comparable </w:t>
      </w:r>
      <w:r w:rsidR="003F28E5" w:rsidRPr="00C81D12">
        <w:rPr>
          <w:rFonts w:ascii="Cambria" w:hAnsi="Cambria" w:cstheme="majorBidi"/>
          <w:sz w:val="18"/>
          <w:szCs w:val="18"/>
        </w:rPr>
        <w:t>factor</w:t>
      </w:r>
      <w:r w:rsidR="0023355D" w:rsidRPr="00C81D12">
        <w:rPr>
          <w:rFonts w:ascii="Cambria" w:hAnsi="Cambria" w:cstheme="majorBidi"/>
          <w:sz w:val="18"/>
          <w:szCs w:val="18"/>
        </w:rPr>
        <w:t xml:space="preserve">. </w:t>
      </w:r>
    </w:p>
    <w:p w14:paraId="70409C65" w14:textId="77777777" w:rsidR="00466AF1" w:rsidRPr="00C81D12" w:rsidRDefault="00466AF1">
      <w:pPr>
        <w:rPr>
          <w:rFonts w:ascii="Cambria" w:hAnsi="Cambria" w:cstheme="majorBidi"/>
          <w:sz w:val="18"/>
          <w:szCs w:val="18"/>
        </w:rPr>
      </w:pPr>
    </w:p>
    <w:p w14:paraId="07CD3D24" w14:textId="5134C399" w:rsidR="00466AF1" w:rsidRPr="00C81D12" w:rsidRDefault="00466AF1">
      <w:pPr>
        <w:rPr>
          <w:rFonts w:ascii="Cambria" w:hAnsi="Cambria" w:cstheme="majorBidi"/>
        </w:rPr>
      </w:pPr>
      <w:r w:rsidRPr="00C81D12">
        <w:rPr>
          <w:rFonts w:ascii="Cambria" w:hAnsi="Cambria" w:cstheme="majorBidi"/>
        </w:rPr>
        <w:br w:type="page"/>
      </w:r>
    </w:p>
    <w:p w14:paraId="67AF51BC" w14:textId="2E757445" w:rsidR="00466AF1" w:rsidRPr="00C81D12" w:rsidRDefault="006C24CD" w:rsidP="00466AF1">
      <w:pPr>
        <w:jc w:val="center"/>
        <w:rPr>
          <w:rFonts w:ascii="Cambria" w:hAnsi="Cambria" w:cstheme="majorBidi"/>
        </w:rPr>
      </w:pPr>
      <w:r w:rsidRPr="00C81D12">
        <w:rPr>
          <w:rFonts w:ascii="Cambria" w:hAnsi="Cambria" w:cstheme="majorBidi"/>
          <w:noProof/>
        </w:rPr>
        <w:lastRenderedPageBreak/>
        <w:drawing>
          <wp:inline distT="0" distB="0" distL="0" distR="0" wp14:anchorId="2FA2EBCE" wp14:editId="1D20ACD8">
            <wp:extent cx="4087542" cy="54864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87542" cy="5486400"/>
                    </a:xfrm>
                    <a:prstGeom prst="rect">
                      <a:avLst/>
                    </a:prstGeom>
                    <a:noFill/>
                  </pic:spPr>
                </pic:pic>
              </a:graphicData>
            </a:graphic>
          </wp:inline>
        </w:drawing>
      </w:r>
    </w:p>
    <w:p w14:paraId="790D6429" w14:textId="135C6DA4" w:rsidR="00466AF1" w:rsidRPr="00C81D12" w:rsidRDefault="00BB2EFA" w:rsidP="009C3F61">
      <w:pPr>
        <w:spacing w:line="480" w:lineRule="auto"/>
        <w:rPr>
          <w:rFonts w:ascii="Cambria" w:eastAsiaTheme="minorEastAsia" w:hAnsi="Cambria" w:cstheme="majorBidi"/>
          <w:bCs/>
          <w:sz w:val="18"/>
          <w:szCs w:val="18"/>
          <w:lang w:bidi="fa-IR"/>
        </w:rPr>
      </w:pPr>
      <w:r w:rsidRPr="00C81D12">
        <w:rPr>
          <w:rFonts w:ascii="Cambria" w:hAnsi="Cambria" w:cstheme="majorBidi"/>
          <w:sz w:val="18"/>
          <w:szCs w:val="18"/>
        </w:rPr>
        <w:t xml:space="preserve">Figure S. </w:t>
      </w:r>
      <w:r w:rsidR="00965835">
        <w:rPr>
          <w:rFonts w:ascii="Cambria" w:hAnsi="Cambria" w:cstheme="majorBidi"/>
          <w:sz w:val="18"/>
          <w:szCs w:val="18"/>
        </w:rPr>
        <w:t>4</w:t>
      </w:r>
      <w:r w:rsidR="00466AF1" w:rsidRPr="00C81D12">
        <w:rPr>
          <w:rFonts w:ascii="Cambria" w:hAnsi="Cambria" w:cstheme="majorBidi"/>
          <w:sz w:val="18"/>
          <w:szCs w:val="18"/>
        </w:rPr>
        <w:t xml:space="preserve">. For each of the four window functions, the first row represents the SWC time series computed with different step sizes </w:t>
      </w:r>
      <m:oMath>
        <m:r>
          <w:rPr>
            <w:rFonts w:ascii="Cambria Math" w:hAnsi="Cambria Math" w:cstheme="majorBidi"/>
            <w:sz w:val="18"/>
            <w:szCs w:val="18"/>
          </w:rPr>
          <m:t>p</m:t>
        </m:r>
      </m:oMath>
      <w:r w:rsidR="00466AF1" w:rsidRPr="00C81D12">
        <w:rPr>
          <w:rFonts w:ascii="Cambria" w:hAnsi="Cambria" w:cstheme="majorBidi"/>
          <w:sz w:val="18"/>
          <w:szCs w:val="18"/>
        </w:rPr>
        <w:t xml:space="preserve">, varied in the range of </w:t>
      </w:r>
      <m:oMath>
        <m:r>
          <w:rPr>
            <w:rFonts w:ascii="Cambria Math" w:hAnsi="Cambria Math" w:cstheme="majorBidi"/>
            <w:sz w:val="18"/>
            <w:szCs w:val="18"/>
          </w:rPr>
          <m:t>(1,100)</m:t>
        </m:r>
      </m:oMath>
      <w:r w:rsidR="00466AF1" w:rsidRPr="00C81D12">
        <w:rPr>
          <w:rFonts w:ascii="Cambria" w:hAnsi="Cambria" w:cstheme="majorBidi"/>
          <w:sz w:val="18"/>
          <w:szCs w:val="18"/>
        </w:rPr>
        <w:t xml:space="preserve"> with increment</w:t>
      </w:r>
      <w:r w:rsidR="00965F63" w:rsidRPr="00C81D12">
        <w:rPr>
          <w:rFonts w:ascii="Cambria" w:hAnsi="Cambria" w:cstheme="majorBidi"/>
          <w:sz w:val="18"/>
          <w:szCs w:val="18"/>
        </w:rPr>
        <w:t>s</w:t>
      </w:r>
      <w:r w:rsidR="00466AF1" w:rsidRPr="00C81D12">
        <w:rPr>
          <w:rFonts w:ascii="Cambria" w:hAnsi="Cambria" w:cstheme="majorBidi"/>
          <w:sz w:val="18"/>
          <w:szCs w:val="18"/>
        </w:rPr>
        <w:t xml:space="preserve"> of 1 time point. The second row represents the frequency spectrum of the corresponding SWC time series computed with different step sizes. Increasing step size does not significantly affect the SWC time series (the first row) and frequency spectrum (second row), as long as it satisfied the proposed limit, i.e. </w:t>
      </w:r>
      <m:oMath>
        <m:r>
          <w:rPr>
            <w:rFonts w:ascii="Cambria Math" w:hAnsi="Cambria Math" w:cstheme="majorBidi"/>
            <w:sz w:val="18"/>
            <w:szCs w:val="18"/>
          </w:rPr>
          <m:t>p</m:t>
        </m:r>
        <m:r>
          <m:rPr>
            <m:sty m:val="p"/>
          </m:rPr>
          <w:rPr>
            <w:rFonts w:ascii="Cambria Math" w:hAnsi="Cambria Math" w:cstheme="majorBidi"/>
            <w:sz w:val="18"/>
            <w:szCs w:val="18"/>
          </w:rPr>
          <m:t>≤</m:t>
        </m:r>
        <m:sSub>
          <m:sSubPr>
            <m:ctrlPr>
              <w:rPr>
                <w:rFonts w:ascii="Cambria Math" w:hAnsi="Cambria Math" w:cstheme="majorBidi"/>
                <w:sz w:val="18"/>
                <w:szCs w:val="18"/>
              </w:rPr>
            </m:ctrlPr>
          </m:sSubPr>
          <m:e>
            <m:r>
              <m:rPr>
                <m:sty m:val="p"/>
              </m:rPr>
              <w:rPr>
                <w:rFonts w:ascii="Cambria Math" w:hAnsi="Cambria Math" w:cstheme="majorBidi"/>
                <w:sz w:val="18"/>
                <w:szCs w:val="18"/>
              </w:rPr>
              <m:t>Ω</m:t>
            </m:r>
          </m:e>
          <m:sub>
            <m:r>
              <w:rPr>
                <w:rFonts w:ascii="Cambria Math" w:hAnsi="Cambria Math" w:cstheme="majorBidi"/>
                <w:sz w:val="18"/>
                <w:szCs w:val="18"/>
              </w:rPr>
              <m:t>s</m:t>
            </m:r>
          </m:sub>
        </m:sSub>
        <m:r>
          <m:rPr>
            <m:sty m:val="p"/>
          </m:rPr>
          <w:rPr>
            <w:rFonts w:ascii="Cambria Math" w:hAnsi="Cambria Math" w:cstheme="majorBidi"/>
            <w:sz w:val="18"/>
            <w:szCs w:val="18"/>
          </w:rPr>
          <m:t>/2</m:t>
        </m:r>
        <m:sSub>
          <m:sSubPr>
            <m:ctrlPr>
              <w:rPr>
                <w:rFonts w:ascii="Cambria Math" w:hAnsi="Cambria Math" w:cstheme="majorBidi"/>
                <w:sz w:val="18"/>
                <w:szCs w:val="18"/>
              </w:rPr>
            </m:ctrlPr>
          </m:sSubPr>
          <m:e>
            <m:r>
              <m:rPr>
                <m:sty m:val="p"/>
              </m:rPr>
              <w:rPr>
                <w:rFonts w:ascii="Cambria Math" w:hAnsi="Cambria Math" w:cstheme="majorBidi"/>
                <w:sz w:val="18"/>
                <w:szCs w:val="18"/>
              </w:rPr>
              <m:t>Ω</m:t>
            </m:r>
          </m:e>
          <m:sub>
            <m:r>
              <w:rPr>
                <w:rFonts w:ascii="Cambria Math" w:hAnsi="Cambria Math" w:cstheme="majorBidi"/>
                <w:sz w:val="18"/>
                <w:szCs w:val="18"/>
              </w:rPr>
              <m:t>c</m:t>
            </m:r>
          </m:sub>
        </m:sSub>
      </m:oMath>
      <w:r w:rsidR="00466AF1" w:rsidRPr="00C81D12">
        <w:rPr>
          <w:rFonts w:ascii="Cambria" w:hAnsi="Cambria" w:cstheme="majorBidi"/>
          <w:sz w:val="18"/>
          <w:szCs w:val="18"/>
        </w:rPr>
        <w:t xml:space="preserve">. However, as step size increased beyond its upper bound limit, the SWC content underwent significant distortions (due to aliasing) as evident </w:t>
      </w:r>
      <w:r w:rsidR="00BB7E1E" w:rsidRPr="00C81D12">
        <w:rPr>
          <w:rFonts w:ascii="Cambria" w:hAnsi="Cambria" w:cstheme="majorBidi"/>
          <w:sz w:val="18"/>
          <w:szCs w:val="18"/>
        </w:rPr>
        <w:t xml:space="preserve">by </w:t>
      </w:r>
      <w:r w:rsidR="00AA3EF0" w:rsidRPr="00C81D12">
        <w:rPr>
          <w:rFonts w:ascii="Cambria" w:hAnsi="Cambria" w:cstheme="majorBidi"/>
          <w:sz w:val="18"/>
          <w:szCs w:val="18"/>
        </w:rPr>
        <w:t>the</w:t>
      </w:r>
      <w:r w:rsidR="00466AF1" w:rsidRPr="00C81D12">
        <w:rPr>
          <w:rFonts w:ascii="Cambria" w:hAnsi="Cambria" w:cstheme="majorBidi"/>
          <w:sz w:val="18"/>
          <w:szCs w:val="18"/>
        </w:rPr>
        <w:t xml:space="preserve"> temporal profiles. </w:t>
      </w:r>
      <w:r w:rsidR="00AA3EF0" w:rsidRPr="00C81D12">
        <w:rPr>
          <w:rFonts w:ascii="Cambria" w:hAnsi="Cambria" w:cstheme="majorBidi"/>
          <w:sz w:val="18"/>
          <w:szCs w:val="18"/>
        </w:rPr>
        <w:t xml:space="preserve">In addition, frequency spectrums show how the higher frequency dynamic correlation, occurring at </w:t>
      </w:r>
      <m:oMath>
        <m:r>
          <w:rPr>
            <w:rFonts w:ascii="Cambria Math" w:hAnsi="Cambria Math" w:cstheme="majorBidi"/>
            <w:sz w:val="18"/>
            <w:szCs w:val="18"/>
          </w:rPr>
          <m:t>δ</m:t>
        </m:r>
        <m:sSub>
          <m:sSubPr>
            <m:ctrlPr>
              <w:rPr>
                <w:rFonts w:ascii="Cambria Math" w:hAnsi="Cambria Math" w:cstheme="majorBidi"/>
                <w:i/>
                <w:sz w:val="18"/>
                <w:szCs w:val="18"/>
              </w:rPr>
            </m:ctrlPr>
          </m:sSubPr>
          <m:e>
            <m:r>
              <w:rPr>
                <w:rFonts w:ascii="Cambria Math" w:hAnsi="Cambria Math" w:cstheme="majorBidi"/>
                <w:sz w:val="18"/>
                <w:szCs w:val="18"/>
              </w:rPr>
              <m:t>f</m:t>
            </m:r>
          </m:e>
          <m:sub>
            <m:r>
              <w:rPr>
                <w:rFonts w:ascii="Cambria Math" w:hAnsi="Cambria Math" w:cstheme="majorBidi"/>
                <w:sz w:val="18"/>
                <w:szCs w:val="18"/>
              </w:rPr>
              <m:t>2</m:t>
            </m:r>
          </m:sub>
        </m:sSub>
        <m:r>
          <w:rPr>
            <w:rFonts w:ascii="Cambria Math" w:hAnsi="Cambria Math" w:cstheme="majorBidi"/>
            <w:sz w:val="18"/>
            <w:szCs w:val="18"/>
          </w:rPr>
          <m:t>=0.006</m:t>
        </m:r>
      </m:oMath>
      <w:r w:rsidR="00AA3EF0" w:rsidRPr="00C81D12">
        <w:rPr>
          <w:rFonts w:ascii="Cambria" w:hAnsi="Cambria" w:cstheme="majorBidi"/>
          <w:sz w:val="18"/>
          <w:szCs w:val="18"/>
        </w:rPr>
        <w:t>, was folded into the lower frequency</w:t>
      </w:r>
      <w:r w:rsidR="000B7DF0" w:rsidRPr="00C81D12">
        <w:rPr>
          <w:rFonts w:ascii="Cambria" w:hAnsi="Cambria" w:cstheme="majorBidi"/>
          <w:sz w:val="18"/>
          <w:szCs w:val="18"/>
        </w:rPr>
        <w:t xml:space="preserve"> content</w:t>
      </w:r>
      <w:r w:rsidR="00BB7E1E" w:rsidRPr="00C81D12">
        <w:rPr>
          <w:rFonts w:ascii="Cambria" w:hAnsi="Cambria" w:cstheme="majorBidi"/>
          <w:sz w:val="18"/>
          <w:szCs w:val="18"/>
        </w:rPr>
        <w:t>. For example,</w:t>
      </w:r>
      <w:r w:rsidR="000B7DF0" w:rsidRPr="00C81D12">
        <w:rPr>
          <w:rFonts w:ascii="Cambria" w:hAnsi="Cambria" w:cstheme="majorBidi"/>
          <w:sz w:val="18"/>
          <w:szCs w:val="18"/>
        </w:rPr>
        <w:t xml:space="preserve"> s</w:t>
      </w:r>
      <w:r w:rsidR="00947223" w:rsidRPr="00C81D12">
        <w:rPr>
          <w:rFonts w:ascii="Cambria" w:hAnsi="Cambria" w:cstheme="majorBidi"/>
          <w:sz w:val="18"/>
          <w:szCs w:val="18"/>
        </w:rPr>
        <w:t>ee the fre</w:t>
      </w:r>
      <w:r w:rsidR="00B44AAD" w:rsidRPr="00C81D12">
        <w:rPr>
          <w:rFonts w:ascii="Cambria" w:hAnsi="Cambria" w:cstheme="majorBidi"/>
          <w:sz w:val="18"/>
          <w:szCs w:val="18"/>
        </w:rPr>
        <w:t>q</w:t>
      </w:r>
      <w:r w:rsidR="00947223" w:rsidRPr="00C81D12">
        <w:rPr>
          <w:rFonts w:ascii="Cambria" w:hAnsi="Cambria" w:cstheme="majorBidi"/>
          <w:sz w:val="18"/>
          <w:szCs w:val="18"/>
        </w:rPr>
        <w:t>u</w:t>
      </w:r>
      <w:r w:rsidR="00B44AAD" w:rsidRPr="00C81D12">
        <w:rPr>
          <w:rFonts w:ascii="Cambria" w:hAnsi="Cambria" w:cstheme="majorBidi"/>
          <w:sz w:val="18"/>
          <w:szCs w:val="18"/>
        </w:rPr>
        <w:t>e</w:t>
      </w:r>
      <w:r w:rsidR="00947223" w:rsidRPr="00C81D12">
        <w:rPr>
          <w:rFonts w:ascii="Cambria" w:hAnsi="Cambria" w:cstheme="majorBidi"/>
          <w:sz w:val="18"/>
          <w:szCs w:val="18"/>
        </w:rPr>
        <w:t>ncy spectrums</w:t>
      </w:r>
      <w:r w:rsidR="000B7DF0" w:rsidRPr="00C81D12">
        <w:rPr>
          <w:rFonts w:ascii="Cambria" w:hAnsi="Cambria" w:cstheme="majorBidi"/>
          <w:sz w:val="18"/>
          <w:szCs w:val="18"/>
        </w:rPr>
        <w:t>, the</w:t>
      </w:r>
      <w:r w:rsidR="00BB7E1E" w:rsidRPr="00C81D12">
        <w:rPr>
          <w:rFonts w:ascii="Cambria" w:hAnsi="Cambria" w:cstheme="majorBidi"/>
          <w:sz w:val="18"/>
          <w:szCs w:val="18"/>
        </w:rPr>
        <w:t xml:space="preserve"> </w:t>
      </w:r>
      <w:r w:rsidR="00AC3134" w:rsidRPr="00C81D12">
        <w:rPr>
          <w:rFonts w:ascii="Cambria" w:hAnsi="Cambria" w:cstheme="majorBidi"/>
          <w:sz w:val="18"/>
          <w:szCs w:val="18"/>
        </w:rPr>
        <w:t>value</w:t>
      </w:r>
      <w:r w:rsidR="000B7DF0" w:rsidRPr="00C81D12">
        <w:rPr>
          <w:rFonts w:ascii="Cambria" w:hAnsi="Cambria" w:cstheme="majorBidi"/>
          <w:sz w:val="18"/>
          <w:szCs w:val="18"/>
        </w:rPr>
        <w:t xml:space="preserve"> of </w:t>
      </w:r>
      <m:oMath>
        <m:r>
          <w:rPr>
            <w:rFonts w:ascii="Cambria Math" w:hAnsi="Cambria Math" w:cstheme="majorBidi"/>
            <w:sz w:val="18"/>
            <w:szCs w:val="18"/>
          </w:rPr>
          <m:t>p</m:t>
        </m:r>
      </m:oMath>
      <w:r w:rsidR="000B7DF0" w:rsidRPr="00C81D12">
        <w:rPr>
          <w:rFonts w:ascii="Cambria" w:eastAsiaTheme="minorEastAsia" w:hAnsi="Cambria" w:cstheme="majorBidi"/>
          <w:sz w:val="18"/>
          <w:szCs w:val="18"/>
        </w:rPr>
        <w:t xml:space="preserve"> </w:t>
      </w:r>
      <w:r w:rsidR="000B7DF0" w:rsidRPr="00C81D12">
        <w:rPr>
          <w:rFonts w:ascii="Cambria" w:hAnsi="Cambria" w:cstheme="majorBidi"/>
          <w:sz w:val="18"/>
          <w:szCs w:val="18"/>
        </w:rPr>
        <w:t xml:space="preserve">at which the occurrence of such distortions </w:t>
      </w:r>
      <w:r w:rsidR="00FA56EC" w:rsidRPr="00C81D12">
        <w:rPr>
          <w:rFonts w:ascii="Cambria" w:hAnsi="Cambria" w:cstheme="majorBidi"/>
          <w:sz w:val="18"/>
          <w:szCs w:val="18"/>
        </w:rPr>
        <w:t>became clearly visible</w:t>
      </w:r>
      <w:r w:rsidR="000B7DF0" w:rsidRPr="00C81D12">
        <w:rPr>
          <w:rFonts w:ascii="Cambria" w:hAnsi="Cambria" w:cstheme="majorBidi"/>
          <w:sz w:val="18"/>
          <w:szCs w:val="18"/>
        </w:rPr>
        <w:t xml:space="preserve"> </w:t>
      </w:r>
      <w:r w:rsidR="00EF5593" w:rsidRPr="00C81D12">
        <w:rPr>
          <w:rFonts w:ascii="Cambria" w:hAnsi="Cambria" w:cstheme="majorBidi"/>
          <w:sz w:val="18"/>
          <w:szCs w:val="18"/>
        </w:rPr>
        <w:t>has been marked with a dashed line</w:t>
      </w:r>
      <w:r w:rsidR="00FA56EC" w:rsidRPr="00C81D12">
        <w:rPr>
          <w:rFonts w:ascii="Cambria" w:hAnsi="Cambria" w:cstheme="majorBidi"/>
          <w:sz w:val="18"/>
          <w:szCs w:val="18"/>
        </w:rPr>
        <w:t>.</w:t>
      </w:r>
      <w:r w:rsidR="00947223" w:rsidRPr="00C81D12">
        <w:rPr>
          <w:rFonts w:ascii="Cambria" w:hAnsi="Cambria" w:cstheme="majorBidi"/>
          <w:sz w:val="18"/>
          <w:szCs w:val="18"/>
        </w:rPr>
        <w:t xml:space="preserve"> </w:t>
      </w:r>
      <w:r w:rsidR="00FA56EC" w:rsidRPr="00C81D12">
        <w:rPr>
          <w:rFonts w:ascii="Cambria" w:hAnsi="Cambria" w:cstheme="majorBidi"/>
          <w:sz w:val="18"/>
          <w:szCs w:val="18"/>
        </w:rPr>
        <w:t>Note that t</w:t>
      </w:r>
      <w:r w:rsidR="00947223" w:rsidRPr="00C81D12">
        <w:rPr>
          <w:rFonts w:ascii="Cambria" w:hAnsi="Cambria" w:cstheme="majorBidi"/>
          <w:sz w:val="18"/>
          <w:szCs w:val="18"/>
        </w:rPr>
        <w:t>h</w:t>
      </w:r>
      <w:r w:rsidR="00EF5593" w:rsidRPr="00C81D12">
        <w:rPr>
          <w:rFonts w:ascii="Cambria" w:hAnsi="Cambria" w:cstheme="majorBidi"/>
          <w:sz w:val="18"/>
          <w:szCs w:val="18"/>
        </w:rPr>
        <w:t xml:space="preserve">is results in </w:t>
      </w:r>
      <w:r w:rsidR="00947223" w:rsidRPr="00C81D12">
        <w:rPr>
          <w:rFonts w:ascii="Cambria" w:hAnsi="Cambria" w:cstheme="majorBidi"/>
          <w:sz w:val="18"/>
          <w:szCs w:val="18"/>
        </w:rPr>
        <w:t>strong low frequency component</w:t>
      </w:r>
      <w:r w:rsidR="00EF5593" w:rsidRPr="00C81D12">
        <w:rPr>
          <w:rFonts w:ascii="Cambria" w:hAnsi="Cambria" w:cstheme="majorBidi"/>
          <w:sz w:val="18"/>
          <w:szCs w:val="18"/>
        </w:rPr>
        <w:t>s</w:t>
      </w:r>
      <w:r w:rsidR="00947223" w:rsidRPr="00C81D12">
        <w:rPr>
          <w:rFonts w:ascii="Cambria" w:hAnsi="Cambria" w:cstheme="majorBidi"/>
          <w:sz w:val="18"/>
          <w:szCs w:val="18"/>
        </w:rPr>
        <w:t xml:space="preserve"> that</w:t>
      </w:r>
      <w:r w:rsidR="00AA3EF0" w:rsidRPr="00C81D12">
        <w:rPr>
          <w:rFonts w:ascii="Cambria" w:hAnsi="Cambria" w:cstheme="majorBidi"/>
          <w:sz w:val="18"/>
          <w:szCs w:val="18"/>
        </w:rPr>
        <w:t xml:space="preserve"> </w:t>
      </w:r>
      <w:r w:rsidR="00EF5593" w:rsidRPr="00C81D12">
        <w:rPr>
          <w:rFonts w:ascii="Cambria" w:hAnsi="Cambria" w:cstheme="majorBidi"/>
          <w:sz w:val="18"/>
          <w:szCs w:val="18"/>
        </w:rPr>
        <w:t>do</w:t>
      </w:r>
      <w:r w:rsidR="00947223" w:rsidRPr="00C81D12">
        <w:rPr>
          <w:rFonts w:ascii="Cambria" w:hAnsi="Cambria" w:cstheme="majorBidi"/>
          <w:sz w:val="18"/>
          <w:szCs w:val="18"/>
        </w:rPr>
        <w:t xml:space="preserve"> not represent the real dynamic correlation</w:t>
      </w:r>
      <w:r w:rsidR="00EF5593" w:rsidRPr="00C81D12">
        <w:rPr>
          <w:rFonts w:ascii="Cambria" w:hAnsi="Cambria" w:cstheme="majorBidi"/>
          <w:sz w:val="18"/>
          <w:szCs w:val="18"/>
        </w:rPr>
        <w:t>s</w:t>
      </w:r>
      <w:r w:rsidR="00947223" w:rsidRPr="00C81D12">
        <w:rPr>
          <w:rFonts w:ascii="Cambria" w:hAnsi="Cambria" w:cstheme="majorBidi"/>
          <w:sz w:val="18"/>
          <w:szCs w:val="18"/>
        </w:rPr>
        <w:t xml:space="preserve">. </w:t>
      </w:r>
      <w:r w:rsidR="000A35A9" w:rsidRPr="00C81D12">
        <w:rPr>
          <w:rFonts w:ascii="Cambria" w:hAnsi="Cambria" w:cstheme="majorBidi"/>
          <w:sz w:val="18"/>
          <w:szCs w:val="18"/>
        </w:rPr>
        <w:t xml:space="preserve">In the first case, i.e. using mRect window, dynamic connectivity has strong </w:t>
      </w:r>
      <w:r w:rsidR="000A35A9" w:rsidRPr="00C81D12">
        <w:rPr>
          <w:rFonts w:ascii="Cambria" w:hAnsi="Cambria" w:cstheme="majorBidi"/>
          <w:sz w:val="18"/>
          <w:szCs w:val="18"/>
        </w:rPr>
        <w:lastRenderedPageBreak/>
        <w:t>frequency component at 0.006 Hz, as opposed to the other 3 cases. Consequently, decreasing window bandwidth to below 0.006 Hz will affect the first case significantly while its effect on the other cases is less visible. It worth emphasizing that effect is not a drawback of using mRect window, and more importantly it again shows that mRect is capable of recovering high frequency components, while other windows fail.</w:t>
      </w:r>
      <w:r w:rsidR="00466AF1" w:rsidRPr="00C81D12">
        <w:rPr>
          <w:rFonts w:ascii="Cambria" w:hAnsi="Cambria" w:cstheme="majorBidi"/>
          <w:sz w:val="18"/>
          <w:szCs w:val="18"/>
        </w:rPr>
        <w:br w:type="page"/>
      </w:r>
    </w:p>
    <w:p w14:paraId="594E37E4" w14:textId="553067B4" w:rsidR="00F37E31" w:rsidRPr="00C81D12" w:rsidRDefault="00F37E31" w:rsidP="000A35A9">
      <w:pPr>
        <w:pStyle w:val="NoSpacing"/>
        <w:jc w:val="left"/>
        <w:outlineLvl w:val="0"/>
        <w:rPr>
          <w:rFonts w:cstheme="majorBidi"/>
          <w:b/>
          <w:lang w:bidi="fa-IR"/>
        </w:rPr>
      </w:pPr>
      <w:r w:rsidRPr="00C81D12">
        <w:rPr>
          <w:rFonts w:cstheme="majorBidi"/>
          <w:b/>
          <w:lang w:bidi="fa-IR"/>
        </w:rPr>
        <w:lastRenderedPageBreak/>
        <w:t xml:space="preserve">Comparing windows using </w:t>
      </w:r>
      <w:r w:rsidR="00832BF3" w:rsidRPr="00C81D12">
        <w:rPr>
          <w:rFonts w:cstheme="majorBidi"/>
          <w:b/>
          <w:lang w:bidi="fa-IR"/>
        </w:rPr>
        <w:t xml:space="preserve">real </w:t>
      </w:r>
      <w:r w:rsidRPr="00C81D12">
        <w:rPr>
          <w:rFonts w:cstheme="majorBidi"/>
          <w:b/>
          <w:lang w:bidi="fa-IR"/>
        </w:rPr>
        <w:t>fMRI data</w:t>
      </w:r>
    </w:p>
    <w:p w14:paraId="28C30FEE" w14:textId="5CF1E010" w:rsidR="00F37E31" w:rsidRPr="00C81D12" w:rsidRDefault="00832BF3" w:rsidP="00F37E31">
      <w:pPr>
        <w:pStyle w:val="NoSpacing"/>
        <w:jc w:val="left"/>
        <w:rPr>
          <w:rFonts w:cstheme="majorBidi"/>
          <w:lang w:bidi="fa-IR"/>
        </w:rPr>
      </w:pPr>
      <w:r w:rsidRPr="00C81D12">
        <w:rPr>
          <w:rFonts w:cstheme="majorBidi"/>
          <w:lang w:bidi="fa-IR"/>
        </w:rPr>
        <w:t>T</w:t>
      </w:r>
      <w:r w:rsidR="00F37E31" w:rsidRPr="00C81D12">
        <w:rPr>
          <w:rFonts w:cstheme="majorBidi"/>
          <w:lang w:bidi="fa-IR"/>
        </w:rPr>
        <w:t xml:space="preserve">o examine how the performance of the proposed window may differ from the conventional windows on real fMRI time series that lie in a wide frequency range, two regionally-averaged time series were extracted from a 10 minutes resting state fMRI scan, with </w:t>
      </w:r>
      <m:oMath>
        <m:r>
          <w:rPr>
            <w:rFonts w:ascii="Cambria Math" w:hAnsi="Cambria Math" w:cstheme="majorBidi"/>
            <w:lang w:bidi="fa-IR"/>
          </w:rPr>
          <m:t>TR=2</m:t>
        </m:r>
      </m:oMath>
      <w:r w:rsidR="00F37E31" w:rsidRPr="00C81D12">
        <w:rPr>
          <w:rFonts w:cstheme="majorBidi"/>
          <w:lang w:bidi="fa-IR"/>
        </w:rPr>
        <w:t xml:space="preserve"> sec and number of time points 300. For more information regarding data acquisition and preprocessing refer to </w:t>
      </w:r>
      <w:r w:rsidR="00F37E31" w:rsidRPr="00C81D12">
        <w:rPr>
          <w:rFonts w:cstheme="majorBidi"/>
          <w:lang w:bidi="fa-IR"/>
        </w:rPr>
        <w:fldChar w:fldCharType="begin"/>
      </w:r>
      <w:r w:rsidR="00F37E31" w:rsidRPr="00C81D12">
        <w:rPr>
          <w:rFonts w:cstheme="majorBidi"/>
          <w:lang w:bidi="fa-IR"/>
        </w:rPr>
        <w:instrText xml:space="preserve"> ADDIN EN.CITE &lt;EndNote&gt;&lt;Cite&gt;&lt;Author&gt;Mokhtari&lt;/Author&gt;&lt;Year&gt;2018&lt;/Year&gt;&lt;RecNum&gt;146&lt;/RecNum&gt;&lt;DisplayText&gt;(Mokhtari et al., 2018)&lt;/DisplayText&gt;&lt;record&gt;&lt;rec-number&gt;146&lt;/rec-number&gt;&lt;foreign-keys&gt;&lt;key app="EN" db-id="wzasftze0fd9e6ezxz0xfe9lrx5ttsxt0azs" timestamp="1519072236"&gt;146&lt;/key&gt;&lt;/foreign-keys&gt;&lt;ref-type name="Journal Article"&gt;17&lt;/ref-type&gt;&lt;contributors&gt;&lt;authors&gt;&lt;author&gt;Mokhtari, Fatemeh&lt;/author&gt;&lt;author&gt;Rejeski, W Jack&lt;/author&gt;&lt;author&gt;Zhu, Yingying&lt;/author&gt;&lt;author&gt;Wu, Guorong&lt;/author&gt;&lt;author&gt;Simpson, Sean L&lt;/author&gt;&lt;author&gt;Burdette, Jonathan H&lt;/author&gt;&lt;author&gt;Laurienti, Paul J&lt;/author&gt;&lt;/authors&gt;&lt;/contributors&gt;&lt;titles&gt;&lt;title&gt;Dynamic fMRI Networks Predict Success in a Behavioral Weight Loss Program among Older Adults&lt;/title&gt;&lt;secondary-title&gt;Neuroimage&lt;/secondary-title&gt;&lt;/titles&gt;&lt;periodical&gt;&lt;full-title&gt;Neuroimage&lt;/full-title&gt;&lt;/periodical&gt;&lt;volume&gt;In press&lt;/volume&gt;&lt;dates&gt;&lt;year&gt;2018&lt;/year&gt;&lt;/dates&gt;&lt;urls&gt;&lt;/urls&gt;&lt;/record&gt;&lt;/Cite&gt;&lt;/EndNote&gt;</w:instrText>
      </w:r>
      <w:r w:rsidR="00F37E31" w:rsidRPr="00C81D12">
        <w:rPr>
          <w:rFonts w:cstheme="majorBidi"/>
          <w:lang w:bidi="fa-IR"/>
        </w:rPr>
        <w:fldChar w:fldCharType="separate"/>
      </w:r>
      <w:r w:rsidR="00F37E31" w:rsidRPr="00C81D12">
        <w:rPr>
          <w:rFonts w:cstheme="majorBidi"/>
          <w:noProof/>
          <w:lang w:bidi="fa-IR"/>
        </w:rPr>
        <w:t>(Mokhtari et al., 2018)</w:t>
      </w:r>
      <w:r w:rsidR="00F37E31" w:rsidRPr="00C81D12">
        <w:rPr>
          <w:rFonts w:cstheme="majorBidi"/>
          <w:lang w:bidi="fa-IR"/>
        </w:rPr>
        <w:fldChar w:fldCharType="end"/>
      </w:r>
      <w:r w:rsidR="00F37E31" w:rsidRPr="00C81D12">
        <w:rPr>
          <w:rFonts w:cstheme="majorBidi"/>
          <w:lang w:bidi="fa-IR"/>
        </w:rPr>
        <w:t xml:space="preserve">. This data was actually acquired in two separate resting state scanning runs (each of length 150 time points/ 5 minutes) in </w:t>
      </w:r>
      <w:r w:rsidR="00265568" w:rsidRPr="00C81D12">
        <w:rPr>
          <w:rFonts w:cstheme="majorBidi"/>
          <w:lang w:bidi="fa-IR"/>
        </w:rPr>
        <w:t>the</w:t>
      </w:r>
      <w:r w:rsidR="00F37E31" w:rsidRPr="00C81D12">
        <w:rPr>
          <w:rFonts w:cstheme="majorBidi"/>
          <w:lang w:bidi="fa-IR"/>
        </w:rPr>
        <w:t xml:space="preserve"> same day and </w:t>
      </w:r>
      <w:r w:rsidR="00057A85" w:rsidRPr="00C81D12">
        <w:rPr>
          <w:rFonts w:cstheme="majorBidi"/>
          <w:lang w:bidi="fa-IR"/>
        </w:rPr>
        <w:t xml:space="preserve">the </w:t>
      </w:r>
      <w:r w:rsidR="00F37E31" w:rsidRPr="00C81D12">
        <w:rPr>
          <w:rFonts w:cstheme="majorBidi"/>
          <w:lang w:bidi="fa-IR"/>
        </w:rPr>
        <w:t xml:space="preserve">same MRI data acquisition sessions. Here, to achieve a longer time series to compute reliable </w:t>
      </w:r>
      <w:r w:rsidR="00057A85" w:rsidRPr="00C81D12">
        <w:rPr>
          <w:rFonts w:cstheme="majorBidi"/>
          <w:lang w:bidi="fa-IR"/>
        </w:rPr>
        <w:t xml:space="preserve">SWC connectivity and </w:t>
      </w:r>
      <w:r w:rsidR="00F37E31" w:rsidRPr="00C81D12">
        <w:rPr>
          <w:rFonts w:cstheme="majorBidi"/>
          <w:lang w:bidi="fa-IR"/>
        </w:rPr>
        <w:t xml:space="preserve">Fourier transformation, we concatenated the two scans after preprocessing that included band-pass filtering in the range of </w:t>
      </w:r>
      <m:oMath>
        <m:r>
          <w:rPr>
            <w:rFonts w:ascii="Cambria Math" w:hAnsi="Cambria Math" w:cstheme="majorBidi"/>
            <w:lang w:bidi="fa-IR"/>
          </w:rPr>
          <m:t>(0.01, 0.1)</m:t>
        </m:r>
      </m:oMath>
      <w:r w:rsidR="00F37E31" w:rsidRPr="00C81D12">
        <w:rPr>
          <w:rFonts w:cstheme="majorBidi"/>
          <w:lang w:bidi="fa-IR"/>
        </w:rPr>
        <w:t xml:space="preserve"> Hz. The two regions </w:t>
      </w:r>
      <w:r w:rsidR="0083580F" w:rsidRPr="00C81D12">
        <w:rPr>
          <w:rFonts w:cstheme="majorBidi"/>
          <w:lang w:bidi="fa-IR"/>
        </w:rPr>
        <w:t xml:space="preserve">included the </w:t>
      </w:r>
      <w:r w:rsidR="00F37E31" w:rsidRPr="00C81D12">
        <w:rPr>
          <w:rFonts w:cstheme="majorBidi"/>
          <w:lang w:bidi="fa-IR"/>
        </w:rPr>
        <w:t xml:space="preserve">posterior cingulate cortex (PCC) and left angular gyrus (AG) </w:t>
      </w:r>
      <w:r w:rsidR="0083580F" w:rsidRPr="00C81D12">
        <w:rPr>
          <w:rFonts w:cstheme="majorBidi"/>
          <w:lang w:bidi="fa-IR"/>
        </w:rPr>
        <w:t xml:space="preserve">which </w:t>
      </w:r>
      <w:r w:rsidR="00F37E31" w:rsidRPr="00C81D12">
        <w:rPr>
          <w:rFonts w:cstheme="majorBidi"/>
          <w:lang w:bidi="fa-IR"/>
        </w:rPr>
        <w:t xml:space="preserve">have shown dynamic functional connection according to previous studies </w:t>
      </w:r>
      <w:r w:rsidR="00F37E31" w:rsidRPr="00C81D12">
        <w:rPr>
          <w:rFonts w:cstheme="majorBidi"/>
          <w:lang w:bidi="fa-IR"/>
        </w:rPr>
        <w:fldChar w:fldCharType="begin"/>
      </w:r>
      <w:r w:rsidR="00F37E31" w:rsidRPr="00C81D12">
        <w:rPr>
          <w:rFonts w:cstheme="majorBidi"/>
          <w:lang w:bidi="fa-IR"/>
        </w:rPr>
        <w:instrText xml:space="preserve"> ADDIN EN.CITE &lt;EndNote&gt;&lt;Cite&gt;&lt;Author&gt;Chang&lt;/Author&gt;&lt;Year&gt;2010&lt;/Year&gt;&lt;RecNum&gt;34&lt;/RecNum&gt;&lt;DisplayText&gt;(Chang and Glover, 2010; Leonardi and Van De Ville, 2015)&lt;/DisplayText&gt;&lt;record&gt;&lt;rec-number&gt;34&lt;/rec-number&gt;&lt;foreign-keys&gt;&lt;key app="EN" db-id="wzasftze0fd9e6ezxz0xfe9lrx5ttsxt0azs" timestamp="1494948791"&gt;34&lt;/key&gt;&lt;/foreign-keys&gt;&lt;ref-type name="Journal Article"&gt;17&lt;/ref-type&gt;&lt;contributors&gt;&lt;authors&gt;&lt;author&gt;Chang, Catie&lt;/author&gt;&lt;author&gt;Glover, Gary H&lt;/author&gt;&lt;/authors&gt;&lt;/contributors&gt;&lt;titles&gt;&lt;title&gt;Time–frequency dynamics of resting-state brain connectivity measured with fMRI&lt;/title&gt;&lt;secondary-title&gt;Neuroimage&lt;/secondary-title&gt;&lt;/titles&gt;&lt;periodical&gt;&lt;full-title&gt;Neuroimage&lt;/full-title&gt;&lt;/periodical&gt;&lt;pages&gt;81-98&lt;/pages&gt;&lt;volume&gt;50&lt;/volume&gt;&lt;number&gt;1&lt;/number&gt;&lt;dates&gt;&lt;year&gt;2010&lt;/year&gt;&lt;/dates&gt;&lt;isbn&gt;1053-8119&lt;/isbn&gt;&lt;urls&gt;&lt;/urls&gt;&lt;/record&gt;&lt;/Cite&gt;&lt;Cite&gt;&lt;Author&gt;Leonardi&lt;/Author&gt;&lt;Year&gt;2015&lt;/Year&gt;&lt;RecNum&gt;71&lt;/RecNum&gt;&lt;record&gt;&lt;rec-number&gt;71&lt;/rec-number&gt;&lt;foreign-keys&gt;&lt;key app="EN" db-id="wzasftze0fd9e6ezxz0xfe9lrx5ttsxt0azs" timestamp="1506375937"&gt;71&lt;/key&gt;&lt;/foreign-keys&gt;&lt;ref-type name="Journal Article"&gt;17&lt;/ref-type&gt;&lt;contributors&gt;&lt;authors&gt;&lt;author&gt;Leonardi, Nora&lt;/author&gt;&lt;author&gt;Van De Ville, Dimitri&lt;/author&gt;&lt;/authors&gt;&lt;/contributors&gt;&lt;titles&gt;&lt;title&gt;On spurious and real fluctuations of dynamic functional connectivity during rest&lt;/title&gt;&lt;secondary-title&gt;Neuroimage&lt;/secondary-title&gt;&lt;/titles&gt;&lt;periodical&gt;&lt;full-title&gt;Neuroimage&lt;/full-title&gt;&lt;/periodical&gt;&lt;pages&gt;430-436&lt;/pages&gt;&lt;volume&gt;104&lt;/volume&gt;&lt;dates&gt;&lt;year&gt;2015&lt;/year&gt;&lt;/dates&gt;&lt;isbn&gt;1053-8119&lt;/isbn&gt;&lt;urls&gt;&lt;/urls&gt;&lt;/record&gt;&lt;/Cite&gt;&lt;/EndNote&gt;</w:instrText>
      </w:r>
      <w:r w:rsidR="00F37E31" w:rsidRPr="00C81D12">
        <w:rPr>
          <w:rFonts w:cstheme="majorBidi"/>
          <w:lang w:bidi="fa-IR"/>
        </w:rPr>
        <w:fldChar w:fldCharType="separate"/>
      </w:r>
      <w:r w:rsidR="00F37E31" w:rsidRPr="00C81D12">
        <w:rPr>
          <w:rFonts w:cstheme="majorBidi"/>
          <w:noProof/>
          <w:lang w:bidi="fa-IR"/>
        </w:rPr>
        <w:t>(Chang and Glover, 2010; Leonardi and Van De Ville, 2015)</w:t>
      </w:r>
      <w:r w:rsidR="00F37E31" w:rsidRPr="00C81D12">
        <w:rPr>
          <w:rFonts w:cstheme="majorBidi"/>
          <w:lang w:bidi="fa-IR"/>
        </w:rPr>
        <w:fldChar w:fldCharType="end"/>
      </w:r>
      <w:r w:rsidR="00F37E31" w:rsidRPr="00C81D12">
        <w:rPr>
          <w:rFonts w:cstheme="majorBidi"/>
          <w:lang w:bidi="fa-IR"/>
        </w:rPr>
        <w:t xml:space="preserve">.  The SWC analysis was performed using different window functions with window length as suggested </w:t>
      </w:r>
      <w:r w:rsidR="00693165" w:rsidRPr="00C81D12">
        <w:rPr>
          <w:rFonts w:cstheme="majorBidi"/>
          <w:lang w:bidi="fa-IR"/>
        </w:rPr>
        <w:t>in the main document</w:t>
      </w:r>
      <w:r w:rsidR="00F37E31" w:rsidRPr="00C81D12">
        <w:rPr>
          <w:rFonts w:cstheme="majorBidi"/>
          <w:lang w:bidi="fa-IR"/>
        </w:rPr>
        <w:t xml:space="preserve"> and </w:t>
      </w:r>
      <w:r w:rsidR="005848B0" w:rsidRPr="00C81D12">
        <w:rPr>
          <w:rFonts w:cstheme="majorBidi"/>
          <w:lang w:bidi="fa-IR"/>
        </w:rPr>
        <w:t>step</w:t>
      </w:r>
      <w:r w:rsidR="00F37E31" w:rsidRPr="00C81D12">
        <w:rPr>
          <w:rFonts w:cstheme="majorBidi"/>
          <w:lang w:bidi="fa-IR"/>
        </w:rPr>
        <w:t xml:space="preserve"> size of </w:t>
      </w:r>
      <m:oMath>
        <m:r>
          <w:rPr>
            <w:rFonts w:ascii="Cambria Math" w:hAnsi="Cambria Math" w:cstheme="majorBidi"/>
            <w:lang w:bidi="fa-IR"/>
          </w:rPr>
          <m:t>p=1</m:t>
        </m:r>
      </m:oMath>
      <w:r w:rsidR="00F0256C" w:rsidRPr="00C81D12">
        <w:rPr>
          <w:rFonts w:cstheme="majorBidi"/>
          <w:lang w:bidi="fa-IR"/>
        </w:rPr>
        <w:t xml:space="preserve"> time point</w:t>
      </w:r>
      <w:r w:rsidR="00F37E31" w:rsidRPr="00C81D12">
        <w:rPr>
          <w:rFonts w:cstheme="majorBidi"/>
          <w:lang w:bidi="fa-IR"/>
        </w:rPr>
        <w:t>.</w:t>
      </w:r>
    </w:p>
    <w:p w14:paraId="6A7B56FB" w14:textId="7F3E7D02" w:rsidR="00C0191C" w:rsidRPr="00C81D12" w:rsidRDefault="00C0191C" w:rsidP="003E5FE6">
      <w:pPr>
        <w:pStyle w:val="NoSpacing"/>
        <w:spacing w:after="0"/>
        <w:rPr>
          <w:rFonts w:cstheme="majorBidi"/>
          <w:lang w:bidi="fa-IR"/>
        </w:rPr>
      </w:pPr>
      <w:r w:rsidRPr="00C81D12">
        <w:rPr>
          <w:rFonts w:cstheme="majorBidi"/>
          <w:lang w:bidi="fa-IR"/>
        </w:rPr>
        <w:t>For</w:t>
      </w:r>
      <w:r w:rsidR="006D3BD7" w:rsidRPr="00C81D12">
        <w:rPr>
          <w:rFonts w:cstheme="majorBidi"/>
          <w:lang w:bidi="fa-IR"/>
        </w:rPr>
        <w:t xml:space="preserve"> the</w:t>
      </w:r>
      <w:r w:rsidRPr="00C81D12">
        <w:rPr>
          <w:rFonts w:cstheme="majorBidi"/>
          <w:lang w:bidi="fa-IR"/>
        </w:rPr>
        <w:t xml:space="preserve"> two </w:t>
      </w:r>
      <w:r w:rsidR="00BA4928" w:rsidRPr="00C81D12">
        <w:rPr>
          <w:rFonts w:cstheme="majorBidi"/>
          <w:lang w:bidi="fa-IR"/>
        </w:rPr>
        <w:t xml:space="preserve">representative </w:t>
      </w:r>
      <w:r w:rsidRPr="00C81D12">
        <w:rPr>
          <w:rFonts w:cstheme="majorBidi"/>
          <w:lang w:bidi="fa-IR"/>
        </w:rPr>
        <w:t>individual participants, we show the regional time series, the pointwise multiplication</w:t>
      </w:r>
      <w:r w:rsidR="00832BF3" w:rsidRPr="00C81D12">
        <w:rPr>
          <w:rFonts w:cstheme="majorBidi"/>
          <w:lang w:bidi="fa-IR"/>
        </w:rPr>
        <w:t>,</w:t>
      </w:r>
      <w:r w:rsidRPr="00C81D12">
        <w:rPr>
          <w:rFonts w:cstheme="majorBidi"/>
          <w:lang w:bidi="fa-IR"/>
        </w:rPr>
        <w:t xml:space="preserve"> </w:t>
      </w:r>
      <w:r w:rsidR="00832BF3" w:rsidRPr="00C81D12">
        <w:rPr>
          <w:rFonts w:cstheme="majorBidi"/>
          <w:lang w:bidi="fa-IR"/>
        </w:rPr>
        <w:t xml:space="preserve">the </w:t>
      </w:r>
      <w:r w:rsidRPr="00C81D12">
        <w:rPr>
          <w:rFonts w:cstheme="majorBidi"/>
          <w:lang w:bidi="fa-IR"/>
        </w:rPr>
        <w:t>SWC time series and thei</w:t>
      </w:r>
      <w:r w:rsidR="006D3BD7" w:rsidRPr="00C81D12">
        <w:rPr>
          <w:rFonts w:cstheme="majorBidi"/>
          <w:lang w:bidi="fa-IR"/>
        </w:rPr>
        <w:t>r frequency spectrum in Figure S.</w:t>
      </w:r>
      <w:r w:rsidR="0075517F" w:rsidRPr="00C81D12">
        <w:rPr>
          <w:rFonts w:cstheme="majorBidi"/>
          <w:lang w:bidi="fa-IR"/>
        </w:rPr>
        <w:t xml:space="preserve"> </w:t>
      </w:r>
      <w:r w:rsidR="00A23317" w:rsidRPr="00C81D12">
        <w:rPr>
          <w:rFonts w:cstheme="majorBidi"/>
          <w:lang w:bidi="fa-IR"/>
        </w:rPr>
        <w:t>4</w:t>
      </w:r>
      <w:r w:rsidRPr="00C81D12">
        <w:rPr>
          <w:rFonts w:cstheme="majorBidi"/>
          <w:lang w:bidi="fa-IR"/>
        </w:rPr>
        <w:t xml:space="preserve">. For the first </w:t>
      </w:r>
      <w:r w:rsidR="00687CA1" w:rsidRPr="00C81D12">
        <w:rPr>
          <w:rFonts w:cstheme="majorBidi"/>
          <w:lang w:bidi="fa-IR"/>
        </w:rPr>
        <w:t>participant</w:t>
      </w:r>
      <w:r w:rsidRPr="00C81D12">
        <w:rPr>
          <w:rFonts w:cstheme="majorBidi"/>
          <w:lang w:bidi="fa-IR"/>
        </w:rPr>
        <w:t>, as evident by the frequency spectrums, the mRect window showed superior performance in revealing the relative power of slower vs. faster dynamic correlations (e.g. the relative</w:t>
      </w:r>
      <w:r w:rsidR="009D183A" w:rsidRPr="00C81D12">
        <w:rPr>
          <w:rFonts w:cstheme="majorBidi"/>
          <w:lang w:bidi="fa-IR"/>
        </w:rPr>
        <w:t xml:space="preserve"> power of the component at 0.0</w:t>
      </w:r>
      <w:r w:rsidR="00D572F0" w:rsidRPr="00C81D12">
        <w:rPr>
          <w:rFonts w:cstheme="majorBidi"/>
          <w:lang w:bidi="fa-IR"/>
        </w:rPr>
        <w:t>005</w:t>
      </w:r>
      <w:r w:rsidRPr="00C81D12">
        <w:rPr>
          <w:rFonts w:cstheme="majorBidi"/>
          <w:lang w:bidi="fa-IR"/>
        </w:rPr>
        <w:t xml:space="preserve"> vs. </w:t>
      </w:r>
      <w:r w:rsidR="009D183A" w:rsidRPr="00C81D12">
        <w:rPr>
          <w:rFonts w:cstheme="majorBidi"/>
          <w:lang w:bidi="fa-IR"/>
        </w:rPr>
        <w:t>the components at 0.0</w:t>
      </w:r>
      <w:r w:rsidR="00D572F0" w:rsidRPr="00C81D12">
        <w:rPr>
          <w:rFonts w:cstheme="majorBidi"/>
          <w:lang w:bidi="fa-IR"/>
        </w:rPr>
        <w:t>05</w:t>
      </w:r>
      <w:r w:rsidR="009D183A" w:rsidRPr="00C81D12">
        <w:rPr>
          <w:rFonts w:cstheme="majorBidi"/>
          <w:lang w:bidi="fa-IR"/>
        </w:rPr>
        <w:t xml:space="preserve"> or 0.00</w:t>
      </w:r>
      <w:r w:rsidR="00D572F0" w:rsidRPr="00C81D12">
        <w:rPr>
          <w:rFonts w:cstheme="majorBidi"/>
          <w:lang w:bidi="fa-IR"/>
        </w:rPr>
        <w:t>65</w:t>
      </w:r>
      <w:r w:rsidRPr="00C81D12">
        <w:rPr>
          <w:rFonts w:cstheme="majorBidi"/>
          <w:lang w:bidi="fa-IR"/>
        </w:rPr>
        <w:t xml:space="preserve"> Hz) compared to the conventional windows that failed to </w:t>
      </w:r>
      <w:r w:rsidR="009D183A" w:rsidRPr="00C81D12">
        <w:rPr>
          <w:rFonts w:cstheme="majorBidi"/>
          <w:lang w:bidi="fa-IR"/>
        </w:rPr>
        <w:t>efficiently retrieve the amplitude of</w:t>
      </w:r>
      <w:r w:rsidRPr="00C81D12">
        <w:rPr>
          <w:rFonts w:cstheme="majorBidi"/>
          <w:lang w:bidi="fa-IR"/>
        </w:rPr>
        <w:t xml:space="preserve"> the faster dynamic correlations. </w:t>
      </w:r>
      <w:r w:rsidR="00687CA1" w:rsidRPr="00C81D12">
        <w:rPr>
          <w:rFonts w:cstheme="majorBidi"/>
          <w:lang w:bidi="fa-IR"/>
        </w:rPr>
        <w:t>Comparable</w:t>
      </w:r>
      <w:r w:rsidRPr="00C81D12">
        <w:rPr>
          <w:rFonts w:cstheme="majorBidi"/>
          <w:lang w:bidi="fa-IR"/>
        </w:rPr>
        <w:t xml:space="preserve"> observations </w:t>
      </w:r>
      <w:r w:rsidR="009D183A" w:rsidRPr="00C81D12">
        <w:rPr>
          <w:rFonts w:cstheme="majorBidi"/>
          <w:lang w:bidi="fa-IR"/>
        </w:rPr>
        <w:t>were</w:t>
      </w:r>
      <w:r w:rsidR="00687CA1" w:rsidRPr="00C81D12">
        <w:rPr>
          <w:rFonts w:cstheme="majorBidi"/>
          <w:lang w:bidi="fa-IR"/>
        </w:rPr>
        <w:t xml:space="preserve"> </w:t>
      </w:r>
      <w:r w:rsidR="00687CA1" w:rsidRPr="00C81D12">
        <w:rPr>
          <w:rFonts w:cstheme="majorBidi"/>
          <w:lang w:bidi="fa-IR"/>
        </w:rPr>
        <w:lastRenderedPageBreak/>
        <w:t>also</w:t>
      </w:r>
      <w:r w:rsidR="009D183A" w:rsidRPr="00C81D12">
        <w:rPr>
          <w:rFonts w:cstheme="majorBidi"/>
          <w:lang w:bidi="fa-IR"/>
        </w:rPr>
        <w:t xml:space="preserve"> seen for the second </w:t>
      </w:r>
      <w:r w:rsidR="00687CA1" w:rsidRPr="00C81D12">
        <w:rPr>
          <w:rFonts w:cstheme="majorBidi"/>
          <w:lang w:bidi="fa-IR"/>
        </w:rPr>
        <w:t>representative participant</w:t>
      </w:r>
      <w:r w:rsidR="009D183A" w:rsidRPr="00C81D12">
        <w:rPr>
          <w:rFonts w:cstheme="majorBidi"/>
          <w:lang w:bidi="fa-IR"/>
        </w:rPr>
        <w:t xml:space="preserve">, where </w:t>
      </w:r>
      <w:r w:rsidR="00BA4928" w:rsidRPr="00C81D12">
        <w:rPr>
          <w:rFonts w:cstheme="majorBidi"/>
          <w:lang w:bidi="fa-IR"/>
        </w:rPr>
        <w:t xml:space="preserve">the amplitude of the </w:t>
      </w:r>
      <w:r w:rsidR="009D183A" w:rsidRPr="00C81D12">
        <w:rPr>
          <w:rFonts w:cstheme="majorBidi"/>
          <w:lang w:bidi="fa-IR"/>
        </w:rPr>
        <w:t xml:space="preserve">faster dynamic correlations (occurring </w:t>
      </w:r>
      <w:r w:rsidR="002A3558" w:rsidRPr="00C81D12">
        <w:rPr>
          <w:rFonts w:cstheme="majorBidi"/>
          <w:lang w:bidi="fa-IR"/>
        </w:rPr>
        <w:t>over 0.004</w:t>
      </w:r>
      <w:r w:rsidR="009D183A" w:rsidRPr="00C81D12">
        <w:rPr>
          <w:rFonts w:cstheme="majorBidi"/>
          <w:lang w:bidi="fa-IR"/>
        </w:rPr>
        <w:t xml:space="preserve">) were better </w:t>
      </w:r>
      <w:r w:rsidR="00BA4928" w:rsidRPr="00C81D12">
        <w:rPr>
          <w:rFonts w:cstheme="majorBidi"/>
          <w:lang w:bidi="fa-IR"/>
        </w:rPr>
        <w:t>captured</w:t>
      </w:r>
      <w:r w:rsidR="009D183A" w:rsidRPr="00C81D12">
        <w:rPr>
          <w:rFonts w:cstheme="majorBidi"/>
          <w:lang w:bidi="fa-IR"/>
        </w:rPr>
        <w:t xml:space="preserve"> by the mRect window.</w:t>
      </w:r>
    </w:p>
    <w:p w14:paraId="018166CA" w14:textId="23333C34" w:rsidR="006C24CD" w:rsidRPr="00C81D12" w:rsidRDefault="00265BDA" w:rsidP="00265BDA">
      <w:pPr>
        <w:pStyle w:val="NoSpacing"/>
        <w:spacing w:after="0"/>
        <w:rPr>
          <w:rFonts w:cstheme="majorBidi"/>
          <w:lang w:bidi="fa-IR"/>
        </w:rPr>
      </w:pPr>
      <w:r w:rsidRPr="00C81D12">
        <w:rPr>
          <w:rFonts w:cstheme="majorBidi"/>
          <w:noProof/>
        </w:rPr>
        <w:drawing>
          <wp:inline distT="0" distB="0" distL="0" distR="0" wp14:anchorId="53EE5575" wp14:editId="7B4F60E9">
            <wp:extent cx="5577840" cy="682478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7840" cy="6824785"/>
                    </a:xfrm>
                    <a:prstGeom prst="rect">
                      <a:avLst/>
                    </a:prstGeom>
                    <a:noFill/>
                  </pic:spPr>
                </pic:pic>
              </a:graphicData>
            </a:graphic>
          </wp:inline>
        </w:drawing>
      </w:r>
    </w:p>
    <w:p w14:paraId="090ACAE8" w14:textId="5BE6E632" w:rsidR="00057A85" w:rsidRPr="00C81D12" w:rsidRDefault="0086175F" w:rsidP="00C81D12">
      <w:pPr>
        <w:pStyle w:val="NoSpacing"/>
        <w:spacing w:after="0"/>
        <w:rPr>
          <w:rFonts w:cstheme="majorBidi"/>
          <w:sz w:val="18"/>
          <w:lang w:bidi="fa-IR"/>
        </w:rPr>
      </w:pPr>
      <w:r w:rsidRPr="00C81D12">
        <w:rPr>
          <w:rFonts w:cstheme="majorBidi"/>
          <w:sz w:val="18"/>
          <w:lang w:bidi="fa-IR"/>
        </w:rPr>
        <w:t xml:space="preserve">Figure S. </w:t>
      </w:r>
      <w:r w:rsidR="00965835">
        <w:rPr>
          <w:rFonts w:cstheme="majorBidi"/>
          <w:sz w:val="18"/>
          <w:lang w:bidi="fa-IR"/>
        </w:rPr>
        <w:t>5</w:t>
      </w:r>
      <w:r w:rsidR="00C0191C" w:rsidRPr="00C81D12">
        <w:rPr>
          <w:rFonts w:cstheme="majorBidi"/>
          <w:sz w:val="18"/>
          <w:lang w:bidi="fa-IR"/>
        </w:rPr>
        <w:t xml:space="preserve">.  The PCC and AG time series (the first row) following the preprocessing, the pointwise multiplication and SWC time series and the frequency spectrums </w:t>
      </w:r>
      <w:r w:rsidR="0083580F" w:rsidRPr="00C81D12">
        <w:rPr>
          <w:rFonts w:cstheme="majorBidi"/>
          <w:sz w:val="18"/>
          <w:lang w:bidi="fa-IR"/>
        </w:rPr>
        <w:t xml:space="preserve">resulting from </w:t>
      </w:r>
      <w:r w:rsidR="00C0191C" w:rsidRPr="00C81D12">
        <w:rPr>
          <w:rFonts w:cstheme="majorBidi"/>
          <w:sz w:val="18"/>
          <w:lang w:bidi="fa-IR"/>
        </w:rPr>
        <w:t xml:space="preserve">different window functions for two </w:t>
      </w:r>
      <w:r w:rsidR="00687CA1" w:rsidRPr="00C81D12">
        <w:rPr>
          <w:rFonts w:cstheme="majorBidi"/>
          <w:sz w:val="18"/>
          <w:lang w:bidi="fa-IR"/>
        </w:rPr>
        <w:t xml:space="preserve">representative </w:t>
      </w:r>
      <w:r w:rsidR="00C0191C" w:rsidRPr="00C81D12">
        <w:rPr>
          <w:rFonts w:cstheme="majorBidi"/>
          <w:sz w:val="18"/>
          <w:lang w:bidi="fa-IR"/>
        </w:rPr>
        <w:t xml:space="preserve">participants. </w:t>
      </w:r>
      <w:r w:rsidR="00BA4928" w:rsidRPr="00C81D12">
        <w:rPr>
          <w:rFonts w:cstheme="majorBidi"/>
          <w:sz w:val="18"/>
          <w:lang w:bidi="fa-IR"/>
        </w:rPr>
        <w:br w:type="page"/>
      </w:r>
      <w:r w:rsidR="006E49B0" w:rsidRPr="00C81D12">
        <w:rPr>
          <w:rFonts w:cstheme="majorBidi"/>
        </w:rPr>
        <w:lastRenderedPageBreak/>
        <w:t xml:space="preserve"> </w:t>
      </w:r>
      <w:r w:rsidR="00057A85" w:rsidRPr="00C81D12">
        <w:rPr>
          <w:rFonts w:cstheme="majorBidi"/>
          <w:b/>
        </w:rPr>
        <w:t>References</w:t>
      </w:r>
    </w:p>
    <w:p w14:paraId="361F1394" w14:textId="77777777" w:rsidR="00F020F5" w:rsidRPr="00C81D12" w:rsidRDefault="00057A85" w:rsidP="003E5FE6">
      <w:pPr>
        <w:pStyle w:val="EndNoteBibliography"/>
        <w:spacing w:after="120"/>
        <w:rPr>
          <w:rFonts w:ascii="Cambria" w:hAnsi="Cambria" w:cstheme="majorBidi"/>
        </w:rPr>
      </w:pPr>
      <w:r w:rsidRPr="00C81D12">
        <w:rPr>
          <w:rFonts w:ascii="Cambria" w:hAnsi="Cambria" w:cstheme="majorBidi"/>
        </w:rPr>
        <w:fldChar w:fldCharType="begin"/>
      </w:r>
      <w:r w:rsidRPr="00C81D12">
        <w:rPr>
          <w:rFonts w:ascii="Cambria" w:hAnsi="Cambria" w:cstheme="majorBidi"/>
        </w:rPr>
        <w:instrText xml:space="preserve"> ADDIN EN.REFLIST </w:instrText>
      </w:r>
      <w:r w:rsidRPr="00C81D12">
        <w:rPr>
          <w:rFonts w:ascii="Cambria" w:hAnsi="Cambria" w:cstheme="majorBidi"/>
        </w:rPr>
        <w:fldChar w:fldCharType="separate"/>
      </w:r>
      <w:r w:rsidR="00F020F5" w:rsidRPr="00C81D12">
        <w:rPr>
          <w:rFonts w:ascii="Cambria" w:hAnsi="Cambria" w:cstheme="majorBidi"/>
        </w:rPr>
        <w:t>Chang, C., Glover, G.H., 2010. Time–frequency dynamics of resting-state brain connectivity measured with fMRI. Neuroimage 50, 81-98.</w:t>
      </w:r>
    </w:p>
    <w:p w14:paraId="4B152768" w14:textId="77777777" w:rsidR="00F020F5" w:rsidRPr="00C81D12" w:rsidRDefault="00F020F5" w:rsidP="003E5FE6">
      <w:pPr>
        <w:pStyle w:val="EndNoteBibliography"/>
        <w:spacing w:after="120"/>
        <w:rPr>
          <w:rFonts w:ascii="Cambria" w:hAnsi="Cambria" w:cstheme="majorBidi"/>
        </w:rPr>
      </w:pPr>
      <w:r w:rsidRPr="00C81D12">
        <w:rPr>
          <w:rFonts w:ascii="Cambria" w:hAnsi="Cambria" w:cstheme="majorBidi"/>
        </w:rPr>
        <w:t>Leonardi, N., Van De Ville, D., 2015. On spurious and real fluctuations of dynamic functional connectivity during rest. Neuroimage 104, 430-436.</w:t>
      </w:r>
    </w:p>
    <w:p w14:paraId="5A9E11CC" w14:textId="77777777" w:rsidR="00F020F5" w:rsidRPr="00C81D12" w:rsidRDefault="00F020F5" w:rsidP="003E5FE6">
      <w:pPr>
        <w:pStyle w:val="EndNoteBibliography"/>
        <w:spacing w:after="120"/>
        <w:rPr>
          <w:rFonts w:ascii="Cambria" w:hAnsi="Cambria" w:cstheme="majorBidi"/>
        </w:rPr>
      </w:pPr>
      <w:r w:rsidRPr="00C81D12">
        <w:rPr>
          <w:rFonts w:ascii="Cambria" w:hAnsi="Cambria" w:cstheme="majorBidi"/>
        </w:rPr>
        <w:t>Mokhtari, F., Rejeski, W.J., Zhu, Y., Wu, G., Simpson, S.L., Burdette, J.H., Laurienti, P.J., 2018. Dynamic fMRI Networks Predict Success in a Behavioral Weight Loss Program among Older Adults. Neuroimage In press.</w:t>
      </w:r>
    </w:p>
    <w:p w14:paraId="7E4C2608" w14:textId="0595B06E" w:rsidR="009D4F3D" w:rsidRPr="00C81D12" w:rsidRDefault="00057A85" w:rsidP="003E5FE6">
      <w:pPr>
        <w:spacing w:after="120"/>
        <w:rPr>
          <w:rFonts w:ascii="Cambria" w:hAnsi="Cambria" w:cstheme="majorBidi"/>
        </w:rPr>
      </w:pPr>
      <w:r w:rsidRPr="00C81D12">
        <w:rPr>
          <w:rFonts w:ascii="Cambria" w:hAnsi="Cambria" w:cstheme="majorBidi"/>
        </w:rPr>
        <w:fldChar w:fldCharType="end"/>
      </w:r>
    </w:p>
    <w:sectPr w:rsidR="009D4F3D" w:rsidRPr="00C81D12" w:rsidSect="00074A90">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9CFE56" w14:textId="77777777" w:rsidR="001B36D3" w:rsidRDefault="001B36D3" w:rsidP="009D4F3D">
      <w:pPr>
        <w:spacing w:after="0" w:line="240" w:lineRule="auto"/>
      </w:pPr>
      <w:r>
        <w:separator/>
      </w:r>
    </w:p>
  </w:endnote>
  <w:endnote w:type="continuationSeparator" w:id="0">
    <w:p w14:paraId="6CB6BD7C" w14:textId="77777777" w:rsidR="001B36D3" w:rsidRDefault="001B36D3" w:rsidP="009D4F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9C0E9B" w14:textId="77777777" w:rsidR="00644A01" w:rsidRDefault="00644A0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0527996"/>
      <w:docPartObj>
        <w:docPartGallery w:val="Page Numbers (Bottom of Page)"/>
        <w:docPartUnique/>
      </w:docPartObj>
    </w:sdtPr>
    <w:sdtEndPr>
      <w:rPr>
        <w:noProof/>
      </w:rPr>
    </w:sdtEndPr>
    <w:sdtContent>
      <w:p w14:paraId="2D539702" w14:textId="5614C717" w:rsidR="00644A01" w:rsidRDefault="00644A01">
        <w:pPr>
          <w:pStyle w:val="Footer"/>
          <w:jc w:val="center"/>
        </w:pPr>
        <w:r>
          <w:fldChar w:fldCharType="begin"/>
        </w:r>
        <w:r>
          <w:instrText xml:space="preserve"> PAGE   \* MERGEFORMAT </w:instrText>
        </w:r>
        <w:r>
          <w:fldChar w:fldCharType="separate"/>
        </w:r>
        <w:r w:rsidR="009437CD">
          <w:rPr>
            <w:noProof/>
          </w:rPr>
          <w:t>8</w:t>
        </w:r>
        <w:r>
          <w:rPr>
            <w:noProof/>
          </w:rPr>
          <w:fldChar w:fldCharType="end"/>
        </w:r>
      </w:p>
    </w:sdtContent>
  </w:sdt>
  <w:p w14:paraId="7CAFC03E" w14:textId="77777777" w:rsidR="00644A01" w:rsidRDefault="00644A0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DF7C33" w14:textId="77777777" w:rsidR="00644A01" w:rsidRDefault="00644A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84BBA7" w14:textId="77777777" w:rsidR="001B36D3" w:rsidRDefault="001B36D3" w:rsidP="009D4F3D">
      <w:pPr>
        <w:spacing w:after="0" w:line="240" w:lineRule="auto"/>
      </w:pPr>
      <w:r>
        <w:separator/>
      </w:r>
    </w:p>
  </w:footnote>
  <w:footnote w:type="continuationSeparator" w:id="0">
    <w:p w14:paraId="5926E567" w14:textId="77777777" w:rsidR="001B36D3" w:rsidRDefault="001B36D3" w:rsidP="009D4F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20FEEC" w14:textId="77777777" w:rsidR="00644A01" w:rsidRDefault="00644A0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A9F95F" w14:textId="77777777" w:rsidR="00644A01" w:rsidRDefault="00644A0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45E485" w14:textId="77777777" w:rsidR="00644A01" w:rsidRDefault="00644A0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C915C0"/>
    <w:multiLevelType w:val="multilevel"/>
    <w:tmpl w:val="72FCC0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Layout" w:val="&lt;ENLayout&gt;&lt;Style&gt;Neuroimag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zasftze0fd9e6ezxz0xfe9lrx5ttsxt0azs&quot;&gt;References_Hypergraph_Manuscript&lt;record-ids&gt;&lt;item&gt;34&lt;/item&gt;&lt;item&gt;71&lt;/item&gt;&lt;item&gt;146&lt;/item&gt;&lt;/record-ids&gt;&lt;/item&gt;&lt;/Libraries&gt;"/>
  </w:docVars>
  <w:rsids>
    <w:rsidRoot w:val="00A7336C"/>
    <w:rsid w:val="000116E7"/>
    <w:rsid w:val="00020151"/>
    <w:rsid w:val="000239AB"/>
    <w:rsid w:val="00026C17"/>
    <w:rsid w:val="000332FF"/>
    <w:rsid w:val="00057A85"/>
    <w:rsid w:val="00071011"/>
    <w:rsid w:val="00073037"/>
    <w:rsid w:val="00074A90"/>
    <w:rsid w:val="00081D75"/>
    <w:rsid w:val="00084E6D"/>
    <w:rsid w:val="000941B7"/>
    <w:rsid w:val="000A35A9"/>
    <w:rsid w:val="000B7DF0"/>
    <w:rsid w:val="000C1ABE"/>
    <w:rsid w:val="000E551D"/>
    <w:rsid w:val="000E6FA1"/>
    <w:rsid w:val="0010123C"/>
    <w:rsid w:val="00114CC2"/>
    <w:rsid w:val="001270D2"/>
    <w:rsid w:val="00135470"/>
    <w:rsid w:val="0014448D"/>
    <w:rsid w:val="00156197"/>
    <w:rsid w:val="00160A9A"/>
    <w:rsid w:val="001A1495"/>
    <w:rsid w:val="001B36D3"/>
    <w:rsid w:val="001E5662"/>
    <w:rsid w:val="001E781D"/>
    <w:rsid w:val="0023355D"/>
    <w:rsid w:val="0024186A"/>
    <w:rsid w:val="00260BB4"/>
    <w:rsid w:val="00265568"/>
    <w:rsid w:val="00265BDA"/>
    <w:rsid w:val="00282B0A"/>
    <w:rsid w:val="002946B0"/>
    <w:rsid w:val="002A2C08"/>
    <w:rsid w:val="002A3558"/>
    <w:rsid w:val="002B6492"/>
    <w:rsid w:val="002C4BB6"/>
    <w:rsid w:val="002E6559"/>
    <w:rsid w:val="002F5E25"/>
    <w:rsid w:val="002F7785"/>
    <w:rsid w:val="00342B92"/>
    <w:rsid w:val="003603A4"/>
    <w:rsid w:val="00364132"/>
    <w:rsid w:val="003808BA"/>
    <w:rsid w:val="00385779"/>
    <w:rsid w:val="00395977"/>
    <w:rsid w:val="003A79A5"/>
    <w:rsid w:val="003E3A1E"/>
    <w:rsid w:val="003E5FE6"/>
    <w:rsid w:val="003F0D59"/>
    <w:rsid w:val="003F28E5"/>
    <w:rsid w:val="003F72A6"/>
    <w:rsid w:val="0040585D"/>
    <w:rsid w:val="00417E9A"/>
    <w:rsid w:val="00457C7D"/>
    <w:rsid w:val="00464511"/>
    <w:rsid w:val="00466AF1"/>
    <w:rsid w:val="00470062"/>
    <w:rsid w:val="00480C6E"/>
    <w:rsid w:val="004A6C85"/>
    <w:rsid w:val="004C5916"/>
    <w:rsid w:val="004D0CEF"/>
    <w:rsid w:val="00501B1C"/>
    <w:rsid w:val="0052209D"/>
    <w:rsid w:val="005266D2"/>
    <w:rsid w:val="00533C09"/>
    <w:rsid w:val="005848B0"/>
    <w:rsid w:val="00587AC5"/>
    <w:rsid w:val="005B680D"/>
    <w:rsid w:val="00610960"/>
    <w:rsid w:val="00624DC7"/>
    <w:rsid w:val="0062611D"/>
    <w:rsid w:val="00641513"/>
    <w:rsid w:val="00644A01"/>
    <w:rsid w:val="00687CA1"/>
    <w:rsid w:val="00693165"/>
    <w:rsid w:val="006A5A8B"/>
    <w:rsid w:val="006A6F7E"/>
    <w:rsid w:val="006C24CD"/>
    <w:rsid w:val="006D0512"/>
    <w:rsid w:val="006D3BD7"/>
    <w:rsid w:val="006E49B0"/>
    <w:rsid w:val="00710B22"/>
    <w:rsid w:val="007217D6"/>
    <w:rsid w:val="0074362F"/>
    <w:rsid w:val="00751EEA"/>
    <w:rsid w:val="0075517F"/>
    <w:rsid w:val="007730B3"/>
    <w:rsid w:val="00796113"/>
    <w:rsid w:val="007A6A91"/>
    <w:rsid w:val="00805A8E"/>
    <w:rsid w:val="00816455"/>
    <w:rsid w:val="00832BF3"/>
    <w:rsid w:val="0083580F"/>
    <w:rsid w:val="00837C8B"/>
    <w:rsid w:val="0086015B"/>
    <w:rsid w:val="0086175F"/>
    <w:rsid w:val="00863A21"/>
    <w:rsid w:val="00863DB1"/>
    <w:rsid w:val="00870F95"/>
    <w:rsid w:val="00880DC8"/>
    <w:rsid w:val="008A47A5"/>
    <w:rsid w:val="008B798E"/>
    <w:rsid w:val="008D0AAA"/>
    <w:rsid w:val="008E2ADF"/>
    <w:rsid w:val="00913467"/>
    <w:rsid w:val="009437CD"/>
    <w:rsid w:val="00947223"/>
    <w:rsid w:val="00947981"/>
    <w:rsid w:val="00965835"/>
    <w:rsid w:val="00965F63"/>
    <w:rsid w:val="00977B09"/>
    <w:rsid w:val="0098064D"/>
    <w:rsid w:val="00994F15"/>
    <w:rsid w:val="009A372B"/>
    <w:rsid w:val="009C196D"/>
    <w:rsid w:val="009C3F61"/>
    <w:rsid w:val="009C77EB"/>
    <w:rsid w:val="009D183A"/>
    <w:rsid w:val="009D2EE2"/>
    <w:rsid w:val="009D4F3D"/>
    <w:rsid w:val="009D69D3"/>
    <w:rsid w:val="009D77E9"/>
    <w:rsid w:val="00A2013E"/>
    <w:rsid w:val="00A23317"/>
    <w:rsid w:val="00A7336C"/>
    <w:rsid w:val="00A8241F"/>
    <w:rsid w:val="00A829B3"/>
    <w:rsid w:val="00AA3EF0"/>
    <w:rsid w:val="00AC3134"/>
    <w:rsid w:val="00AE52D2"/>
    <w:rsid w:val="00B007B7"/>
    <w:rsid w:val="00B34726"/>
    <w:rsid w:val="00B44AAD"/>
    <w:rsid w:val="00B57406"/>
    <w:rsid w:val="00BA4928"/>
    <w:rsid w:val="00BB2EFA"/>
    <w:rsid w:val="00BB7E1E"/>
    <w:rsid w:val="00BE3D67"/>
    <w:rsid w:val="00BE4F10"/>
    <w:rsid w:val="00BE7A5A"/>
    <w:rsid w:val="00BE7D60"/>
    <w:rsid w:val="00BF10B7"/>
    <w:rsid w:val="00C0191C"/>
    <w:rsid w:val="00C06A72"/>
    <w:rsid w:val="00C35BE2"/>
    <w:rsid w:val="00C51A04"/>
    <w:rsid w:val="00C736A6"/>
    <w:rsid w:val="00C81D12"/>
    <w:rsid w:val="00C9013C"/>
    <w:rsid w:val="00CA5680"/>
    <w:rsid w:val="00CA7F81"/>
    <w:rsid w:val="00CB414A"/>
    <w:rsid w:val="00CB533C"/>
    <w:rsid w:val="00CC5133"/>
    <w:rsid w:val="00CE2844"/>
    <w:rsid w:val="00D163F0"/>
    <w:rsid w:val="00D37CA3"/>
    <w:rsid w:val="00D539DB"/>
    <w:rsid w:val="00D572F0"/>
    <w:rsid w:val="00D96F0E"/>
    <w:rsid w:val="00DB1401"/>
    <w:rsid w:val="00DC0BE3"/>
    <w:rsid w:val="00DC3AE0"/>
    <w:rsid w:val="00DC796D"/>
    <w:rsid w:val="00DE18A8"/>
    <w:rsid w:val="00E24C49"/>
    <w:rsid w:val="00E31BAB"/>
    <w:rsid w:val="00E43809"/>
    <w:rsid w:val="00E43E9C"/>
    <w:rsid w:val="00E4429C"/>
    <w:rsid w:val="00E647CD"/>
    <w:rsid w:val="00E80C8D"/>
    <w:rsid w:val="00E93FAC"/>
    <w:rsid w:val="00EA1FF5"/>
    <w:rsid w:val="00EA6CAF"/>
    <w:rsid w:val="00EB1D73"/>
    <w:rsid w:val="00EB3AB7"/>
    <w:rsid w:val="00EC26D5"/>
    <w:rsid w:val="00EC4162"/>
    <w:rsid w:val="00ED47D6"/>
    <w:rsid w:val="00ED673D"/>
    <w:rsid w:val="00EF4A9C"/>
    <w:rsid w:val="00EF5593"/>
    <w:rsid w:val="00EF5E39"/>
    <w:rsid w:val="00EF61B8"/>
    <w:rsid w:val="00F020F5"/>
    <w:rsid w:val="00F0256C"/>
    <w:rsid w:val="00F04904"/>
    <w:rsid w:val="00F132BE"/>
    <w:rsid w:val="00F24891"/>
    <w:rsid w:val="00F36188"/>
    <w:rsid w:val="00F37E31"/>
    <w:rsid w:val="00F50132"/>
    <w:rsid w:val="00FA56EC"/>
    <w:rsid w:val="00FE754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D3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9D4F3D"/>
    <w:rPr>
      <w:sz w:val="16"/>
      <w:szCs w:val="16"/>
    </w:rPr>
  </w:style>
  <w:style w:type="paragraph" w:styleId="CommentText">
    <w:name w:val="annotation text"/>
    <w:basedOn w:val="Normal"/>
    <w:link w:val="CommentTextChar"/>
    <w:uiPriority w:val="99"/>
    <w:semiHidden/>
    <w:unhideWhenUsed/>
    <w:rsid w:val="009D4F3D"/>
    <w:pPr>
      <w:spacing w:line="240" w:lineRule="auto"/>
    </w:pPr>
    <w:rPr>
      <w:sz w:val="20"/>
      <w:szCs w:val="20"/>
    </w:rPr>
  </w:style>
  <w:style w:type="character" w:customStyle="1" w:styleId="CommentTextChar">
    <w:name w:val="Comment Text Char"/>
    <w:basedOn w:val="DefaultParagraphFont"/>
    <w:link w:val="CommentText"/>
    <w:uiPriority w:val="99"/>
    <w:semiHidden/>
    <w:rsid w:val="009D4F3D"/>
    <w:rPr>
      <w:sz w:val="20"/>
      <w:szCs w:val="20"/>
    </w:rPr>
  </w:style>
  <w:style w:type="paragraph" w:styleId="Caption">
    <w:name w:val="caption"/>
    <w:basedOn w:val="Normal"/>
    <w:next w:val="Normal"/>
    <w:uiPriority w:val="35"/>
    <w:unhideWhenUsed/>
    <w:qFormat/>
    <w:rsid w:val="009D4F3D"/>
    <w:pPr>
      <w:spacing w:line="480" w:lineRule="auto"/>
      <w:jc w:val="center"/>
    </w:pPr>
    <w:rPr>
      <w:rFonts w:ascii="Cambria" w:eastAsiaTheme="minorEastAsia" w:hAnsi="Cambria"/>
      <w:bCs/>
      <w:sz w:val="18"/>
      <w:szCs w:val="18"/>
      <w:lang w:bidi="fa-IR"/>
    </w:rPr>
  </w:style>
  <w:style w:type="paragraph" w:styleId="BalloonText">
    <w:name w:val="Balloon Text"/>
    <w:basedOn w:val="Normal"/>
    <w:link w:val="BalloonTextChar"/>
    <w:uiPriority w:val="99"/>
    <w:semiHidden/>
    <w:unhideWhenUsed/>
    <w:rsid w:val="009D4F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4F3D"/>
    <w:rPr>
      <w:rFonts w:ascii="Segoe UI" w:hAnsi="Segoe UI" w:cs="Segoe UI"/>
      <w:sz w:val="18"/>
      <w:szCs w:val="18"/>
    </w:rPr>
  </w:style>
  <w:style w:type="paragraph" w:styleId="Header">
    <w:name w:val="header"/>
    <w:basedOn w:val="Normal"/>
    <w:link w:val="HeaderChar"/>
    <w:uiPriority w:val="99"/>
    <w:unhideWhenUsed/>
    <w:rsid w:val="009D4F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4F3D"/>
  </w:style>
  <w:style w:type="paragraph" w:styleId="Footer">
    <w:name w:val="footer"/>
    <w:basedOn w:val="Normal"/>
    <w:link w:val="FooterChar"/>
    <w:uiPriority w:val="99"/>
    <w:unhideWhenUsed/>
    <w:rsid w:val="009D4F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4F3D"/>
  </w:style>
  <w:style w:type="character" w:styleId="PlaceholderText">
    <w:name w:val="Placeholder Text"/>
    <w:basedOn w:val="DefaultParagraphFont"/>
    <w:uiPriority w:val="99"/>
    <w:semiHidden/>
    <w:rsid w:val="003F72A6"/>
    <w:rPr>
      <w:color w:val="808080"/>
    </w:rPr>
  </w:style>
  <w:style w:type="paragraph" w:styleId="CommentSubject">
    <w:name w:val="annotation subject"/>
    <w:basedOn w:val="CommentText"/>
    <w:next w:val="CommentText"/>
    <w:link w:val="CommentSubjectChar"/>
    <w:uiPriority w:val="99"/>
    <w:semiHidden/>
    <w:unhideWhenUsed/>
    <w:rsid w:val="001A1495"/>
    <w:rPr>
      <w:b/>
      <w:bCs/>
    </w:rPr>
  </w:style>
  <w:style w:type="character" w:customStyle="1" w:styleId="CommentSubjectChar">
    <w:name w:val="Comment Subject Char"/>
    <w:basedOn w:val="CommentTextChar"/>
    <w:link w:val="CommentSubject"/>
    <w:uiPriority w:val="99"/>
    <w:semiHidden/>
    <w:rsid w:val="001A1495"/>
    <w:rPr>
      <w:b/>
      <w:bCs/>
      <w:sz w:val="20"/>
      <w:szCs w:val="20"/>
    </w:rPr>
  </w:style>
  <w:style w:type="paragraph" w:styleId="NoSpacing">
    <w:name w:val="No Spacing"/>
    <w:basedOn w:val="Normal"/>
    <w:link w:val="NoSpacingChar"/>
    <w:uiPriority w:val="1"/>
    <w:qFormat/>
    <w:rsid w:val="00F37E31"/>
    <w:pPr>
      <w:spacing w:line="480" w:lineRule="auto"/>
      <w:jc w:val="both"/>
    </w:pPr>
    <w:rPr>
      <w:rFonts w:ascii="Cambria" w:eastAsiaTheme="minorEastAsia" w:hAnsi="Cambria"/>
      <w:bCs/>
      <w:sz w:val="24"/>
    </w:rPr>
  </w:style>
  <w:style w:type="paragraph" w:customStyle="1" w:styleId="EndNoteBibliographyTitle">
    <w:name w:val="EndNote Bibliography Title"/>
    <w:basedOn w:val="Normal"/>
    <w:link w:val="EndNoteBibliographyTitleChar"/>
    <w:rsid w:val="00057A85"/>
    <w:pPr>
      <w:spacing w:after="0"/>
      <w:jc w:val="center"/>
    </w:pPr>
    <w:rPr>
      <w:rFonts w:ascii="Calibri" w:hAnsi="Calibri"/>
      <w:noProof/>
    </w:rPr>
  </w:style>
  <w:style w:type="character" w:customStyle="1" w:styleId="NoSpacingChar">
    <w:name w:val="No Spacing Char"/>
    <w:basedOn w:val="DefaultParagraphFont"/>
    <w:link w:val="NoSpacing"/>
    <w:uiPriority w:val="1"/>
    <w:rsid w:val="00057A85"/>
    <w:rPr>
      <w:rFonts w:ascii="Cambria" w:eastAsiaTheme="minorEastAsia" w:hAnsi="Cambria"/>
      <w:bCs/>
      <w:sz w:val="24"/>
    </w:rPr>
  </w:style>
  <w:style w:type="character" w:customStyle="1" w:styleId="EndNoteBibliographyTitleChar">
    <w:name w:val="EndNote Bibliography Title Char"/>
    <w:basedOn w:val="NoSpacingChar"/>
    <w:link w:val="EndNoteBibliographyTitle"/>
    <w:rsid w:val="00057A85"/>
    <w:rPr>
      <w:rFonts w:ascii="Calibri" w:eastAsiaTheme="minorEastAsia" w:hAnsi="Calibri"/>
      <w:bCs w:val="0"/>
      <w:noProof/>
      <w:sz w:val="24"/>
    </w:rPr>
  </w:style>
  <w:style w:type="paragraph" w:customStyle="1" w:styleId="EndNoteBibliography">
    <w:name w:val="EndNote Bibliography"/>
    <w:basedOn w:val="Normal"/>
    <w:link w:val="EndNoteBibliographyChar"/>
    <w:rsid w:val="00057A85"/>
    <w:pPr>
      <w:spacing w:line="240" w:lineRule="auto"/>
    </w:pPr>
    <w:rPr>
      <w:rFonts w:ascii="Calibri" w:hAnsi="Calibri"/>
      <w:noProof/>
    </w:rPr>
  </w:style>
  <w:style w:type="character" w:customStyle="1" w:styleId="EndNoteBibliographyChar">
    <w:name w:val="EndNote Bibliography Char"/>
    <w:basedOn w:val="NoSpacingChar"/>
    <w:link w:val="EndNoteBibliography"/>
    <w:rsid w:val="00057A85"/>
    <w:rPr>
      <w:rFonts w:ascii="Calibri" w:eastAsiaTheme="minorEastAsia" w:hAnsi="Calibri"/>
      <w:bCs w:val="0"/>
      <w:noProof/>
      <w:sz w:val="24"/>
    </w:rPr>
  </w:style>
  <w:style w:type="table" w:styleId="TableGrid">
    <w:name w:val="Table Grid"/>
    <w:basedOn w:val="TableNormal"/>
    <w:uiPriority w:val="39"/>
    <w:rsid w:val="000941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941B7"/>
    <w:pPr>
      <w:spacing w:after="0" w:line="240" w:lineRule="auto"/>
      <w:ind w:left="720"/>
      <w:contextualSpacing/>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9D4F3D"/>
    <w:rPr>
      <w:sz w:val="16"/>
      <w:szCs w:val="16"/>
    </w:rPr>
  </w:style>
  <w:style w:type="paragraph" w:styleId="CommentText">
    <w:name w:val="annotation text"/>
    <w:basedOn w:val="Normal"/>
    <w:link w:val="CommentTextChar"/>
    <w:uiPriority w:val="99"/>
    <w:semiHidden/>
    <w:unhideWhenUsed/>
    <w:rsid w:val="009D4F3D"/>
    <w:pPr>
      <w:spacing w:line="240" w:lineRule="auto"/>
    </w:pPr>
    <w:rPr>
      <w:sz w:val="20"/>
      <w:szCs w:val="20"/>
    </w:rPr>
  </w:style>
  <w:style w:type="character" w:customStyle="1" w:styleId="CommentTextChar">
    <w:name w:val="Comment Text Char"/>
    <w:basedOn w:val="DefaultParagraphFont"/>
    <w:link w:val="CommentText"/>
    <w:uiPriority w:val="99"/>
    <w:semiHidden/>
    <w:rsid w:val="009D4F3D"/>
    <w:rPr>
      <w:sz w:val="20"/>
      <w:szCs w:val="20"/>
    </w:rPr>
  </w:style>
  <w:style w:type="paragraph" w:styleId="Caption">
    <w:name w:val="caption"/>
    <w:basedOn w:val="Normal"/>
    <w:next w:val="Normal"/>
    <w:uiPriority w:val="35"/>
    <w:unhideWhenUsed/>
    <w:qFormat/>
    <w:rsid w:val="009D4F3D"/>
    <w:pPr>
      <w:spacing w:line="480" w:lineRule="auto"/>
      <w:jc w:val="center"/>
    </w:pPr>
    <w:rPr>
      <w:rFonts w:ascii="Cambria" w:eastAsiaTheme="minorEastAsia" w:hAnsi="Cambria"/>
      <w:bCs/>
      <w:sz w:val="18"/>
      <w:szCs w:val="18"/>
      <w:lang w:bidi="fa-IR"/>
    </w:rPr>
  </w:style>
  <w:style w:type="paragraph" w:styleId="BalloonText">
    <w:name w:val="Balloon Text"/>
    <w:basedOn w:val="Normal"/>
    <w:link w:val="BalloonTextChar"/>
    <w:uiPriority w:val="99"/>
    <w:semiHidden/>
    <w:unhideWhenUsed/>
    <w:rsid w:val="009D4F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4F3D"/>
    <w:rPr>
      <w:rFonts w:ascii="Segoe UI" w:hAnsi="Segoe UI" w:cs="Segoe UI"/>
      <w:sz w:val="18"/>
      <w:szCs w:val="18"/>
    </w:rPr>
  </w:style>
  <w:style w:type="paragraph" w:styleId="Header">
    <w:name w:val="header"/>
    <w:basedOn w:val="Normal"/>
    <w:link w:val="HeaderChar"/>
    <w:uiPriority w:val="99"/>
    <w:unhideWhenUsed/>
    <w:rsid w:val="009D4F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4F3D"/>
  </w:style>
  <w:style w:type="paragraph" w:styleId="Footer">
    <w:name w:val="footer"/>
    <w:basedOn w:val="Normal"/>
    <w:link w:val="FooterChar"/>
    <w:uiPriority w:val="99"/>
    <w:unhideWhenUsed/>
    <w:rsid w:val="009D4F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4F3D"/>
  </w:style>
  <w:style w:type="character" w:styleId="PlaceholderText">
    <w:name w:val="Placeholder Text"/>
    <w:basedOn w:val="DefaultParagraphFont"/>
    <w:uiPriority w:val="99"/>
    <w:semiHidden/>
    <w:rsid w:val="003F72A6"/>
    <w:rPr>
      <w:color w:val="808080"/>
    </w:rPr>
  </w:style>
  <w:style w:type="paragraph" w:styleId="CommentSubject">
    <w:name w:val="annotation subject"/>
    <w:basedOn w:val="CommentText"/>
    <w:next w:val="CommentText"/>
    <w:link w:val="CommentSubjectChar"/>
    <w:uiPriority w:val="99"/>
    <w:semiHidden/>
    <w:unhideWhenUsed/>
    <w:rsid w:val="001A1495"/>
    <w:rPr>
      <w:b/>
      <w:bCs/>
    </w:rPr>
  </w:style>
  <w:style w:type="character" w:customStyle="1" w:styleId="CommentSubjectChar">
    <w:name w:val="Comment Subject Char"/>
    <w:basedOn w:val="CommentTextChar"/>
    <w:link w:val="CommentSubject"/>
    <w:uiPriority w:val="99"/>
    <w:semiHidden/>
    <w:rsid w:val="001A1495"/>
    <w:rPr>
      <w:b/>
      <w:bCs/>
      <w:sz w:val="20"/>
      <w:szCs w:val="20"/>
    </w:rPr>
  </w:style>
  <w:style w:type="paragraph" w:styleId="NoSpacing">
    <w:name w:val="No Spacing"/>
    <w:basedOn w:val="Normal"/>
    <w:link w:val="NoSpacingChar"/>
    <w:uiPriority w:val="1"/>
    <w:qFormat/>
    <w:rsid w:val="00F37E31"/>
    <w:pPr>
      <w:spacing w:line="480" w:lineRule="auto"/>
      <w:jc w:val="both"/>
    </w:pPr>
    <w:rPr>
      <w:rFonts w:ascii="Cambria" w:eastAsiaTheme="minorEastAsia" w:hAnsi="Cambria"/>
      <w:bCs/>
      <w:sz w:val="24"/>
    </w:rPr>
  </w:style>
  <w:style w:type="paragraph" w:customStyle="1" w:styleId="EndNoteBibliographyTitle">
    <w:name w:val="EndNote Bibliography Title"/>
    <w:basedOn w:val="Normal"/>
    <w:link w:val="EndNoteBibliographyTitleChar"/>
    <w:rsid w:val="00057A85"/>
    <w:pPr>
      <w:spacing w:after="0"/>
      <w:jc w:val="center"/>
    </w:pPr>
    <w:rPr>
      <w:rFonts w:ascii="Calibri" w:hAnsi="Calibri"/>
      <w:noProof/>
    </w:rPr>
  </w:style>
  <w:style w:type="character" w:customStyle="1" w:styleId="NoSpacingChar">
    <w:name w:val="No Spacing Char"/>
    <w:basedOn w:val="DefaultParagraphFont"/>
    <w:link w:val="NoSpacing"/>
    <w:uiPriority w:val="1"/>
    <w:rsid w:val="00057A85"/>
    <w:rPr>
      <w:rFonts w:ascii="Cambria" w:eastAsiaTheme="minorEastAsia" w:hAnsi="Cambria"/>
      <w:bCs/>
      <w:sz w:val="24"/>
    </w:rPr>
  </w:style>
  <w:style w:type="character" w:customStyle="1" w:styleId="EndNoteBibliographyTitleChar">
    <w:name w:val="EndNote Bibliography Title Char"/>
    <w:basedOn w:val="NoSpacingChar"/>
    <w:link w:val="EndNoteBibliographyTitle"/>
    <w:rsid w:val="00057A85"/>
    <w:rPr>
      <w:rFonts w:ascii="Calibri" w:eastAsiaTheme="minorEastAsia" w:hAnsi="Calibri"/>
      <w:bCs w:val="0"/>
      <w:noProof/>
      <w:sz w:val="24"/>
    </w:rPr>
  </w:style>
  <w:style w:type="paragraph" w:customStyle="1" w:styleId="EndNoteBibliography">
    <w:name w:val="EndNote Bibliography"/>
    <w:basedOn w:val="Normal"/>
    <w:link w:val="EndNoteBibliographyChar"/>
    <w:rsid w:val="00057A85"/>
    <w:pPr>
      <w:spacing w:line="240" w:lineRule="auto"/>
    </w:pPr>
    <w:rPr>
      <w:rFonts w:ascii="Calibri" w:hAnsi="Calibri"/>
      <w:noProof/>
    </w:rPr>
  </w:style>
  <w:style w:type="character" w:customStyle="1" w:styleId="EndNoteBibliographyChar">
    <w:name w:val="EndNote Bibliography Char"/>
    <w:basedOn w:val="NoSpacingChar"/>
    <w:link w:val="EndNoteBibliography"/>
    <w:rsid w:val="00057A85"/>
    <w:rPr>
      <w:rFonts w:ascii="Calibri" w:eastAsiaTheme="minorEastAsia" w:hAnsi="Calibri"/>
      <w:bCs w:val="0"/>
      <w:noProof/>
      <w:sz w:val="24"/>
    </w:rPr>
  </w:style>
  <w:style w:type="table" w:styleId="TableGrid">
    <w:name w:val="Table Grid"/>
    <w:basedOn w:val="TableNormal"/>
    <w:uiPriority w:val="39"/>
    <w:rsid w:val="000941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941B7"/>
    <w:pPr>
      <w:spacing w:after="0"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2.emf"/><Relationship Id="rId19"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9ED0A9-0C5A-4F7F-9DCB-B8B9C0BA4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1630</Words>
  <Characters>9296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WFBH</Company>
  <LinksUpToDate>false</LinksUpToDate>
  <CharactersWithSpaces>10905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Fatemeh Mokhtari</dc:creator>
  <cp:lastModifiedBy>pl</cp:lastModifiedBy>
  <cp:revision>2</cp:revision>
  <cp:lastPrinted>2018-04-23T17:33:00Z</cp:lastPrinted>
  <dcterms:created xsi:type="dcterms:W3CDTF">2019-10-21T12:49:00Z</dcterms:created>
  <dcterms:modified xsi:type="dcterms:W3CDTF">2019-10-21T12:49:00Z</dcterms:modified>
</cp:coreProperties>
</file>