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27067D" w:rsidP="00B02CC3">
      <w:pPr>
        <w:pStyle w:val="Ttulo1"/>
      </w:pPr>
      <w:r>
        <w:t>ESTUDO DE CASO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7301AD" w:rsidRPr="00081803" w:rsidRDefault="00E60F2D" w:rsidP="0027067D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b/>
                <w:bCs/>
                <w:color w:val="FFFFFF" w:themeColor="background1"/>
              </w:rPr>
              <w:t xml:space="preserve">O </w:t>
            </w:r>
            <w:proofErr w:type="spellStart"/>
            <w:r>
              <w:rPr>
                <w:b/>
                <w:bCs/>
                <w:color w:val="FFFFFF" w:themeColor="background1"/>
              </w:rPr>
              <w:t>Desabamento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da </w:t>
            </w:r>
            <w:proofErr w:type="spellStart"/>
            <w:r>
              <w:rPr>
                <w:b/>
                <w:bCs/>
                <w:color w:val="FFFFFF" w:themeColor="background1"/>
              </w:rPr>
              <w:t>Ciclovia</w:t>
            </w:r>
            <w:bookmarkStart w:id="0" w:name="_GoBack"/>
            <w:bookmarkEnd w:id="0"/>
            <w:proofErr w:type="spellEnd"/>
            <w:r w:rsidR="0027067D" w:rsidRPr="0027067D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C5D51" w:rsidRPr="00A603A6" w:rsidRDefault="00CC5D51" w:rsidP="00CC5D51">
            <w:pPr>
              <w:shd w:val="clear" w:color="auto" w:fill="FFFFFF"/>
              <w:spacing w:after="150" w:line="276" w:lineRule="atLeast"/>
              <w:rPr>
                <w:rFonts w:cs="Arial"/>
                <w:color w:val="000000"/>
                <w:lang w:eastAsia="pt-BR"/>
              </w:rPr>
            </w:pPr>
            <w:r w:rsidRPr="00A603A6">
              <w:rPr>
                <w:rFonts w:cs="Arial"/>
                <w:color w:val="000000"/>
                <w:lang w:eastAsia="pt-BR"/>
              </w:rPr>
              <w:t xml:space="preserve">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ocasião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Olimpíada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Rio-2016,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série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foram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planejadas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cidade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Rio de Janeiro,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algumas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atender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especificamente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jogos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olímpicos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outras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visando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deixar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legado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melhorias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permanecerão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posteridade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before="150" w:after="150" w:line="276" w:lineRule="atLeast"/>
              <w:rPr>
                <w:rFonts w:cs="Arial"/>
                <w:color w:val="000000"/>
                <w:lang w:eastAsia="pt-BR"/>
              </w:rPr>
            </w:pPr>
            <w:r w:rsidRPr="00A603A6">
              <w:rPr>
                <w:rFonts w:cs="Arial"/>
                <w:color w:val="000000"/>
                <w:lang w:eastAsia="pt-BR"/>
              </w:rPr>
              <w:t xml:space="preserve">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construção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passando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pela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avenida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Niemeyer (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avenida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litorânea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vai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Leblon a São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Conrado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) se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insere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no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legado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pois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mesma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viés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turístico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proporcionando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bela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paisagem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usuários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after="150" w:line="276" w:lineRule="atLeast"/>
              <w:rPr>
                <w:rFonts w:cs="Arial"/>
                <w:color w:val="000000"/>
                <w:lang w:eastAsia="pt-BR"/>
              </w:rPr>
            </w:pP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Três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meses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após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inaugurada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vinha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bastante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utilizada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somente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ciclistas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mas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também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pedestres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manhã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ensolarada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porém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com mar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bastante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agitado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um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trecho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derrubado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ganhou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velocidade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energia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suspendeu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tabuleiro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trecho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avenida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Niemeyer (que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histórico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fechamento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devido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à “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ressaca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”, causa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fortes),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atingindo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dois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ciclistas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quais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caíram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grande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altura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faleceram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seja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pela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queda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seja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afogamento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  <w:proofErr w:type="gramStart"/>
            <w:r w:rsidRPr="00A603A6">
              <w:rPr>
                <w:rFonts w:cs="Arial"/>
                <w:color w:val="000000"/>
                <w:lang w:eastAsia="pt-BR"/>
              </w:rPr>
              <w:t>A</w:t>
            </w:r>
            <w:proofErr w:type="gram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análise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vídeos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sobre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desabamento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mostra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trechos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estão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apenas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apoiados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apresentam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ligação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resistente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pilares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sustentação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Tudo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indica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considerado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apenas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esforço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vertical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baixo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(peso),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levar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conta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eventual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esforço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baixo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como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ocorrido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  “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considerado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efeito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sobre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parte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inferior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passarela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que fez com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ela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tombasse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Aquele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trecho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é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diferente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demais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tinha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apenas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viga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central. Como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apoios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eram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muito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próximos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do outro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sobre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pilares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força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içamento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bateu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ficou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mais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engrandecida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”,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explicou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 “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Quem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fez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levou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consideração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efeito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dessa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embora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premissa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um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sejam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considerações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combinações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carga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",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acrescentou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  <w:r w:rsidRPr="00A603A6">
              <w:rPr>
                <w:rFonts w:cs="Arial"/>
                <w:color w:val="000000"/>
                <w:lang w:eastAsia="pt-BR"/>
              </w:rPr>
              <w:t xml:space="preserve">Thiers Montebello,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presidente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Tribunal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Contas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município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Rio de Janeiro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disse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durante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nenhuma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irregularidade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grave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encontrada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por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sua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equipe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técnica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  <w:r w:rsidRPr="00A603A6">
              <w:rPr>
                <w:rFonts w:cs="Arial"/>
                <w:color w:val="000000"/>
                <w:lang w:eastAsia="pt-BR"/>
              </w:rPr>
              <w:t xml:space="preserve">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básico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feito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pela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prefeitura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levou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conta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força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mar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comparou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parte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superior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fica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pista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passarela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comum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Secretaria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declarou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básico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é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apenas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conceitual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cálculos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como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impacto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outras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especificações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desenvolvimento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executivo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que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traça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todos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detalhes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técnicos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gramStart"/>
            <w:r w:rsidRPr="00A603A6">
              <w:rPr>
                <w:rFonts w:cs="Arial"/>
                <w:color w:val="000000"/>
                <w:lang w:eastAsia="pt-BR"/>
              </w:rPr>
              <w:t>a</w:t>
            </w:r>
            <w:proofErr w:type="gram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execução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No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caso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ciclovia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da Niemeyer, 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executivo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desenvolvido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pelo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consórcio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Contemat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/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Concrejato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</w:t>
            </w:r>
            <w:r w:rsidRPr="00A603A6">
              <w:rPr>
                <w:rFonts w:cs="Arial"/>
                <w:color w:val="303030"/>
                <w:shd w:val="clear" w:color="auto" w:fill="FFFFFF"/>
              </w:rPr>
              <w:t xml:space="preserve">A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Concremat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possui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tradição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em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obras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de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reparos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, com 54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contratos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firmados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pela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construtora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com o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município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desde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2009</w:t>
            </w:r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r w:rsidRPr="00A603A6">
              <w:rPr>
                <w:rFonts w:cs="Arial"/>
                <w:color w:val="303030"/>
                <w:shd w:val="clear" w:color="auto" w:fill="FFFFFF"/>
              </w:rPr>
              <w:t xml:space="preserve">O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projeto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executivo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da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ciclovia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,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não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possuía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relatório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de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análise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de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riscos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, que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previssem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o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impacto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da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ressaca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.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Outra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irregularidade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foi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gramStart"/>
            <w:r w:rsidRPr="00A603A6">
              <w:rPr>
                <w:rFonts w:cs="Arial"/>
                <w:color w:val="303030"/>
                <w:shd w:val="clear" w:color="auto" w:fill="FFFFFF"/>
              </w:rPr>
              <w:t>a</w:t>
            </w:r>
            <w:proofErr w:type="gram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ausência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de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assinaturas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dos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responsáveis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técnicos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pelo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A603A6">
              <w:rPr>
                <w:rFonts w:cs="Arial"/>
                <w:color w:val="303030"/>
                <w:shd w:val="clear" w:color="auto" w:fill="FFFFFF"/>
              </w:rPr>
              <w:t>projeto</w:t>
            </w:r>
            <w:proofErr w:type="spellEnd"/>
            <w:r w:rsidRPr="00A603A6">
              <w:rPr>
                <w:rFonts w:cs="Arial"/>
                <w:color w:val="303030"/>
                <w:shd w:val="clear" w:color="auto" w:fill="FFFFFF"/>
              </w:rPr>
              <w:t>.</w:t>
            </w:r>
          </w:p>
          <w:p w:rsidR="00CC5D51" w:rsidRPr="00A603A6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</w:p>
          <w:p w:rsidR="007301AD" w:rsidRPr="00CC5D51" w:rsidRDefault="00CC5D51" w:rsidP="00CC5D51">
            <w:pPr>
              <w:shd w:val="clear" w:color="auto" w:fill="FFFFFF"/>
              <w:spacing w:line="276" w:lineRule="atLeast"/>
              <w:rPr>
                <w:rFonts w:cs="Arial"/>
                <w:color w:val="000000"/>
                <w:lang w:eastAsia="pt-BR"/>
              </w:rPr>
            </w:pPr>
            <w:r w:rsidRPr="00A603A6">
              <w:rPr>
                <w:rFonts w:cs="Arial"/>
                <w:color w:val="000000"/>
                <w:lang w:eastAsia="pt-BR"/>
              </w:rPr>
              <w:t xml:space="preserve">Para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construção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no mar,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com interface com o mar,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há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um dado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engenharia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denominado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"https://pt.wikipedia.org/wiki/Onda_centen%C3%A1ria" \t "_blank" </w:instrText>
            </w:r>
            <w:r>
              <w:fldChar w:fldCharType="separate"/>
            </w:r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Centenária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: </w:t>
            </w:r>
            <w:r>
              <w:rPr>
                <w:rFonts w:cs="Arial"/>
                <w:color w:val="000000"/>
                <w:lang w:eastAsia="pt-BR"/>
              </w:rPr>
              <w:fldChar w:fldCharType="end"/>
            </w:r>
            <w:r w:rsidRPr="00A603A6">
              <w:rPr>
                <w:rFonts w:cs="Arial"/>
                <w:color w:val="000000"/>
                <w:lang w:eastAsia="pt-BR"/>
              </w:rPr>
              <w:t xml:space="preserve">é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onda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cuja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altura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é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estatisticamente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alcançada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ou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superada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pelo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menos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uma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vez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século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Nesses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casos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força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gerada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é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igual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à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pressão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vezes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área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e,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sendo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extensa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área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força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pode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ser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suficiente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causar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danos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.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Apesar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ser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prática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corrente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engenharia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principalmente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obras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r w:rsidRPr="00A603A6">
              <w:rPr>
                <w:rFonts w:cs="Arial"/>
                <w:i/>
                <w:color w:val="000000"/>
                <w:lang w:eastAsia="pt-BR"/>
              </w:rPr>
              <w:t>offshore</w:t>
            </w:r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aparentemente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isto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não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considerado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 xml:space="preserve"> no </w:t>
            </w:r>
            <w:proofErr w:type="spellStart"/>
            <w:r w:rsidRPr="00A603A6">
              <w:rPr>
                <w:rFonts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cs="Arial"/>
                <w:color w:val="000000"/>
                <w:lang w:eastAsia="pt-BR"/>
              </w:rPr>
              <w:t>.</w:t>
            </w:r>
          </w:p>
        </w:tc>
      </w:tr>
      <w:tr w:rsidR="00C5798C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5798C" w:rsidRPr="0027067D" w:rsidRDefault="0027067D" w:rsidP="0027067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lastRenderedPageBreak/>
              <w:t>Pontos para discussão</w:t>
            </w:r>
          </w:p>
        </w:tc>
      </w:tr>
      <w:tr w:rsidR="00C5798C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C5D51" w:rsidRPr="00CC5D51" w:rsidRDefault="00CC5D51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Analisando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o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projeto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do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ponto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vista de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gerenciamento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projetos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, que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erro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foi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cometido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CC5D51" w:rsidRPr="00CC5D51" w:rsidRDefault="00CC5D51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Que boas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práticas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gerenciamento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projetos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concernentes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a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gerenciamento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riscos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deixaram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de ser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seguidas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nesse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caso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CC5D51" w:rsidRPr="00A603A6" w:rsidRDefault="00CC5D51" w:rsidP="00CC5D51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120" w:after="120" w:line="276" w:lineRule="atLeast"/>
              <w:ind w:left="357" w:hanging="357"/>
              <w:rPr>
                <w:rFonts w:ascii="Verdana" w:hAnsi="Verdana" w:cs="Arial"/>
                <w:color w:val="000000"/>
                <w:lang w:eastAsia="pt-BR"/>
              </w:rPr>
            </w:pPr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Que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técnica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(s)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poderiam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ter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sido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utilizadas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para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identificar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riscos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,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nesse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 xml:space="preserve"> </w:t>
            </w:r>
            <w:proofErr w:type="spellStart"/>
            <w:r w:rsidRPr="00A603A6">
              <w:rPr>
                <w:rFonts w:ascii="Verdana" w:hAnsi="Verdana" w:cs="Arial"/>
                <w:color w:val="000000"/>
                <w:lang w:eastAsia="pt-BR"/>
              </w:rPr>
              <w:t>caso</w:t>
            </w:r>
            <w:proofErr w:type="spellEnd"/>
            <w:r w:rsidRPr="00A603A6">
              <w:rPr>
                <w:rFonts w:ascii="Verdana" w:hAnsi="Verdana" w:cs="Arial"/>
                <w:color w:val="000000"/>
                <w:lang w:eastAsia="pt-BR"/>
              </w:rPr>
              <w:t>?</w:t>
            </w: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Default="007301AD" w:rsidP="00AF0EB8">
      <w:pPr>
        <w:rPr>
          <w:lang w:val="pt-BR"/>
        </w:rPr>
      </w:pPr>
    </w:p>
    <w:sectPr w:rsidR="007301AD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290E956" wp14:editId="6C546E5E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447"/>
    <w:multiLevelType w:val="hybridMultilevel"/>
    <w:tmpl w:val="8E7A7F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070E2"/>
    <w:multiLevelType w:val="hybridMultilevel"/>
    <w:tmpl w:val="9AE4A9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9F261C"/>
    <w:multiLevelType w:val="hybridMultilevel"/>
    <w:tmpl w:val="23908F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F0C2E"/>
    <w:multiLevelType w:val="hybridMultilevel"/>
    <w:tmpl w:val="B84CC5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54730"/>
    <w:rsid w:val="0027067D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C6832"/>
    <w:rsid w:val="003C6D43"/>
    <w:rsid w:val="003E087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4C79"/>
    <w:rsid w:val="004F7A56"/>
    <w:rsid w:val="00584AD6"/>
    <w:rsid w:val="005B2367"/>
    <w:rsid w:val="005D272F"/>
    <w:rsid w:val="005D278A"/>
    <w:rsid w:val="005D3076"/>
    <w:rsid w:val="005E75EB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5685"/>
    <w:rsid w:val="006F016C"/>
    <w:rsid w:val="007301AD"/>
    <w:rsid w:val="007475C6"/>
    <w:rsid w:val="00767FFD"/>
    <w:rsid w:val="007A1E5E"/>
    <w:rsid w:val="007D27DC"/>
    <w:rsid w:val="007D28B8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61E7"/>
    <w:rsid w:val="00C5798C"/>
    <w:rsid w:val="00C7565D"/>
    <w:rsid w:val="00C8003C"/>
    <w:rsid w:val="00C94F81"/>
    <w:rsid w:val="00CC5D51"/>
    <w:rsid w:val="00CD1439"/>
    <w:rsid w:val="00CD3E1C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0F2D"/>
    <w:rsid w:val="00E66D55"/>
    <w:rsid w:val="00E735E6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A4D4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E715DA1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1AD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25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B0C1-CE17-4B0E-A670-5CBBEE3C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4</cp:revision>
  <cp:lastPrinted>2017-05-22T15:51:00Z</cp:lastPrinted>
  <dcterms:created xsi:type="dcterms:W3CDTF">2023-11-19T20:45:00Z</dcterms:created>
  <dcterms:modified xsi:type="dcterms:W3CDTF">2023-11-20T02:17:00Z</dcterms:modified>
</cp:coreProperties>
</file>