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Руководителю юридической службы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[ФИО]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[должность, ФИО]</w:t>
      </w:r>
    </w:p>
    <w:p>
      <w:pPr>
        <w:spacing w:after="36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 Service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B2A6E"/>
          <w:sz w:val="28"/>
          <w:szCs w:val="28"/>
        </w:rPr>
        <w:t xml:space="preserve">СЛУЖЕБНАЯ ЗАПИСКА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правовой экспертизе пилотного проекта коммерческого использования аллей</w:t>
      </w:r>
    </w:p>
    <w:p>
      <w:pPr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1B2A6E"/>
          <w:sz w:val="24"/>
          <w:szCs w:val="24"/>
        </w:rPr>
        <w:t xml:space="preserve">1. Существо вопроса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 Service готовит пилотный проект по управлению аллеями и общественными пространствами в жилых комплексах компании. Цель пилота — перевести содержание территорий с дотационной модели на самоокупаемую: доходы от коммерческих форматов на самой территории должны покрывать её эксплуатационные расходы, а качество среды и вовлечённость жителей — расти.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пилота отобраны две территории: аллея Гранд Туран Комфорт и аллея Nexpo Union. Плановый бюджет содержания двух аллей — от 10,5 до 17,4 млн тенге в год. Источники покрытия, которые мы намерены проверить на практике: размещение нестационарных торговых объектов (кофе-точки, павильоны), сезонная торговля и мобильная еда, ярмарки выходного дня, спортивные и детские секции, зимние форматы (каток, прокат), спонсорские и рекламные размещения.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перечисленные форматы предполагают извлечение дохода на территории, правовой статус которой требует подтверждения. Просим провести правовую экспертизу и дать заключение по вопросам, изложенным в разделе 3.</w:t>
      </w:r>
    </w:p>
    <w:p>
      <w:pPr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1B2A6E"/>
          <w:sz w:val="24"/>
          <w:szCs w:val="24"/>
        </w:rPr>
        <w:t xml:space="preserve">2. Объекты пилота</w:t>
      </w:r>
    </w:p>
    <w:tbl>
      <w:tblPr>
        <w:tblW w:type="dxa" w:w="9600"/>
        <w:tblBorders>
          <w:top w:val="single" w:color="9AA5BC" w:sz="4"/>
          <w:left w:val="single" w:color="9AA5BC" w:sz="4"/>
          <w:bottom w:val="single" w:color="9AA5BC" w:sz="4"/>
          <w:right w:val="single" w:color="9AA5BC" w:sz="4"/>
          <w:insideH w:val="single" w:color="C6CEE0" w:sz="4"/>
          <w:insideV w:val="single" w:color="C6CEE0" w:sz="4"/>
        </w:tblBorders>
      </w:tblPr>
      <w:tblGrid>
        <w:gridCol w:w="2600"/>
        <w:gridCol w:w="2500"/>
        <w:gridCol w:w="2100"/>
        <w:gridCol w:w="2400"/>
      </w:tblGrid>
      <w:tr>
        <w:trPr>
          <w:tblHeader/>
        </w:trPr>
        <w:tc>
          <w:tcPr>
            <w:tcW w:type="dxa" w:w="2600"/>
            <w:shd w:fill="E8E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6E"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2500"/>
            <w:shd w:fill="E8E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6E"/>
                <w:sz w:val="22"/>
                <w:szCs w:val="22"/>
              </w:rPr>
              <w:t xml:space="preserve">Аллея Гранд Туран Комфорт</w:t>
            </w:r>
          </w:p>
        </w:tc>
        <w:tc>
          <w:tcPr>
            <w:tcW w:type="dxa" w:w="2100"/>
            <w:shd w:fill="E8E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6E"/>
                <w:sz w:val="22"/>
                <w:szCs w:val="22"/>
              </w:rPr>
              <w:t xml:space="preserve">Аллея Nexpo Union</w:t>
            </w:r>
          </w:p>
        </w:tc>
        <w:tc>
          <w:tcPr>
            <w:tcW w:type="dxa" w:w="2400"/>
            <w:shd w:fill="E8E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6E"/>
                <w:sz w:val="22"/>
                <w:szCs w:val="22"/>
              </w:rPr>
              <w:t xml:space="preserve">Примечание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6E"/>
                <w:sz w:val="22"/>
                <w:szCs w:val="22"/>
              </w:rPr>
              <w:t xml:space="preserve">Адрес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г. Астана, ЖК Grand Turan (уточняется)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г. Астана, р-н Есиль, пр. Мангилик Ел, между домами 59 и 61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Гранд Турана просим подтвердить по данным земельного дела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6E"/>
                <w:sz w:val="22"/>
                <w:szCs w:val="22"/>
              </w:rPr>
              <w:t xml:space="preserve">Площадь озеленения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2 300 м²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2 419 м²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реестру территорий BI Service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6E"/>
                <w:sz w:val="22"/>
                <w:szCs w:val="22"/>
              </w:rPr>
              <w:t xml:space="preserve">Общая площадь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7 059 м²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около 4 200 м²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Гранд Туран — обмер по спутнику 18.08.2026; Nexpo Union — оценка, замер планируется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6E"/>
                <w:sz w:val="22"/>
                <w:szCs w:val="22"/>
              </w:rPr>
              <w:t xml:space="preserve">Текущий статус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передан городу, обслуживает BI Green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передан городу, не обслуживается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данным реестра на 08.08.2026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6E"/>
                <w:sz w:val="22"/>
                <w:szCs w:val="22"/>
              </w:rPr>
              <w:t xml:space="preserve">Активы на балансе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129,1 млн тг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73,4 млн тг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справки о балансовой стоимости прилагаются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6E"/>
                <w:sz w:val="22"/>
                <w:szCs w:val="22"/>
              </w:rPr>
              <w:t xml:space="preserve">Застройщик (по справке)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ТОО «ТД Рахмет 3»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ТОО «Казтайм»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спецификация и справка от застройщиков</w:t>
            </w:r>
          </w:p>
        </w:tc>
      </w:tr>
    </w:tbl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Обращаем внимание: аллея Nexpo Union в настоящее время не передана городу и не обслуживается BI Green. Её включение в пилот предполагает принятие территории в управление, поэтому вопросы по этому объекту для нас приоритетны.</w:t>
      </w:r>
    </w:p>
    <w:p>
      <w:pPr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1B2A6E"/>
          <w:sz w:val="24"/>
          <w:szCs w:val="24"/>
        </w:rPr>
        <w:t xml:space="preserve">3. Вопросы, требующие правовой оценки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Правовой статус земельных участков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3.1.1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Кому принадлежат земельные участки под обеими аллеями: город, застройщик, объект кондоминиума (общее имущество собственников квартир) или иное лицо? Просим указать кадастровые номера, вид права и целевое назначение.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3.1.2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Входят ли территории в состав общего имущества объекта кондоминиума соответствующих жилых комплексов? Если да, какие решения общего собрания собственников и в какой форме требуются для коммерческого использования.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3.1.3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Имеются ли обременения, сервитуты, охранные зоны инженерных сетей, ограничивающие размещение объектов и проведение мероприятий.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3.1.4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аллее Nexpo Union: кто является балансодержателем в настоящее время и какова процедура принятия территории в управление BI Service (перечень документов, решений и сроки).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3.1.5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Требуется ли изменение целевого назначения земельного участка для размещения коммерческих объектов; если да — порядок и сроки.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Коммерческое использование территории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3.2.1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Допускает ли текущий правовой статус размещение нестационарных торговых объектов (киоски, павильоны, кофе-точки) и на каких условиях.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3.2.2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Требуется ли включение объектов в схему размещения нестационарных торговых объектов, утверждаемую акиматом города Астаны; порядок, сроки и требования к заявителю.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3.2.3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Вправе ли BI Service (или иное юридическое лицо группы) сдавать места на территории в аренду третьим лицам; какая договорная конструкция является корректной (аренда, возмездное пользование, сервитут, иное).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3.2.4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Допустима ли модель вознаграждения «фиксированная плата плюс процент от оборота арендатора»; как её корректно оформить.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3.2.5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Размещение рекламных конструкций и цифровых экранов: требуется ли разрешение, каков порядок его получения и какие платежи возникают.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Мобильная еда и летние площадки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3.3.1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законодательства к работе мобильных объектов общественного питания (фудтраки, кофе-мобили) на территории жилого комплекса: разрешительные документы, санитарные требования, подключение к сетям, вывоз отходов.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3.3.2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Летние площадки и террасы: порядок согласования по правилам благоустройства города Астаны, сезонные ограничения, требования к внешнему виду и демонтажу.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3.3.3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Ограничения по режиму работы и уровню шума с учётом непосредственной близости жилых домов.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3.3.4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Ограничения на реализацию отдельных категорий товаров (алкогольная и табачная продукция) с учётом наличия на территориях детских игровых и спортивных площадок.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 Зимняя эксплуатация и безопасность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3.4.1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Требуется ли разрешение на устройство сезонного катка и снежных горок на данных территориях; какие согласования необходимы.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3.4.2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Распределение ответственности за причинение вреда жизни и здоровью посетителей между BI Service и привлечённым оператором; рекомендуемые условия договора.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3.4.3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эксплуатации игрового и спортивного оборудования (сертификация, периодические осмотры, журналы), в том числе к уже установленному на аллеях: игровые комплексы, воркаут, скалодром.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3.4.4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Целесообразность и условия страхования гражданской ответственности перед посетителями.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 Договорная модель и налоги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3.5.1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Вправе ли BI Service выступать управляющим и получателем дохода по территории, не находящейся в его собственности; какая договорная конструкция это обеспечивает.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3.5.2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Возможно ли включение в договор с оператором обязательной квоты бесплатного времени для жителей комплекса; как корректно сформулировать такое условие.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3.5.3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Налоговые последствия получения дохода от территории: налог на добавленную стоимость, корпоративный подоходный налог, земельный налог, налог на имущество при постановке малых архитектурных форм на баланс.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3.5.4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Риск квалификации деятельности как использования общего имущества собственников в коммерческих целях без их согласия; способы его исключения.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3.6. Ограничения и рекомендации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3.6.1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действий, которые в принципе недопустимы на данных территориях при текущем правовом статусе.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3.6.2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действий, требующих предварительного согласия жителей, объединения собственников имущества или акимата, с указанием формы такого согласия.</w:t>
      </w:r>
    </w:p>
    <w:p>
      <w:pPr>
        <w:spacing w:after="100" w:line="276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3.6.3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Рекомендуемая последовательность юридических действий для запуска пилота, включая перечень документов, которые BI Service необходимо подготовить.</w:t>
      </w:r>
    </w:p>
    <w:p>
      <w:pPr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1B2A6E"/>
          <w:sz w:val="24"/>
          <w:szCs w:val="24"/>
        </w:rPr>
        <w:t xml:space="preserve">4. Приложения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Презентация пилотного проекта «Парки и аллеи» (модели управления, периметр, экономика).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Финансовая модель пилота, включая лист «Бюджет пилота» (годовое содержание территорий).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Справки о балансовой стоимости по обеим аллеям (застройщики ТОО «ТД Рахмет 3» и ТОО «Казтайм»).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Реестр территорий с обмерами площадей от 18.08.2026.</w:t>
      </w:r>
    </w:p>
    <w:p>
      <w:pPr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1B2A6E"/>
          <w:sz w:val="24"/>
          <w:szCs w:val="24"/>
        </w:rPr>
        <w:t xml:space="preserve">5. Срок и порядок ответа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направить заключение в срок до [дата]. Запуск подготовительного этапа пилота запланирован на сентябрь 2026 года, поэтому от результатов правовой экспертизы зависят состав коммерческих форматов и сроки переговоров с операторами.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для подготовки заключения потребуются дополнительные документы или данные по территориям, готовы предоставить их по запросу.</w:t>
      </w:r>
    </w:p>
    <w:p>
      <w:pPr>
        <w:spacing w:after="4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[Должность]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                                                          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[ФИО]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 2026 г.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Запрос в юридическую службу по пилотному проекту управления аллеями</dc:title>
  <dc:creator>BI Service</dc:creator>
  <cp:lastModifiedBy>Un-named</cp:lastModifiedBy>
  <cp:revision>1</cp:revision>
  <dcterms:created xsi:type="dcterms:W3CDTF">2026-08-31T05:38:32.936Z</dcterms:created>
  <dcterms:modified xsi:type="dcterms:W3CDTF">2026-08-31T05:38:32.936Z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