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1B4F72"/>
          <w:sz w:val="56"/>
          <w:szCs w:val="56"/>
        </w:rPr>
        <w:t xml:space="preserve">SOAP</w:t>
      </w:r>
    </w:p>
    <w:p>
      <w:pPr>
        <w:spacing w:after="60"/>
        <w:jc w:val="center"/>
      </w:pPr>
      <w:r>
        <w:rPr>
          <w:rFonts w:ascii="Arial" w:cs="Arial" w:eastAsia="Arial" w:hAnsi="Arial"/>
          <w:color w:val="2E86C1"/>
          <w:sz w:val="28"/>
          <w:szCs w:val="28"/>
        </w:rPr>
        <w:t xml:space="preserve">Sistema Operacional do Aprovado</w:t>
      </w:r>
    </w:p>
    <w:p>
      <w:pPr>
        <w:pBdr>
          <w:bottom w:val="single" w:color="2E86C1" w:sz="4" w:space="1"/>
        </w:pBdr>
        <w:spacing w:after="400"/>
        <w:jc w:val="center"/>
      </w:pPr>
    </w:p>
    <w:p>
      <w:pPr>
        <w:spacing w:after="80"/>
        <w:jc w:val="center"/>
      </w:pPr>
      <w:r>
        <w:rPr>
          <w:rFonts w:ascii="Arial" w:cs="Arial" w:eastAsia="Arial" w:hAnsi="Arial"/>
          <w:b/>
          <w:bCs/>
          <w:color w:val="000000"/>
          <w:sz w:val="36"/>
          <w:szCs w:val="36"/>
        </w:rPr>
        <w:t xml:space="preserve">Product Brief — Phase 1</w:t>
      </w:r>
    </w:p>
    <w:p>
      <w:pPr>
        <w:spacing w:after="80"/>
        <w:jc w:val="center"/>
      </w:pPr>
      <w:r>
        <w:rPr>
          <w:rFonts w:ascii="Arial" w:cs="Arial" w:eastAsia="Arial" w:hAnsi="Arial"/>
          <w:color w:val="7F8C8D"/>
          <w:sz w:val="22"/>
          <w:szCs w:val="22"/>
        </w:rPr>
        <w:t xml:space="preserve">Lightweight PRD: User Flows, Tech Decisions &amp; Definition of Done</w:t>
      </w:r>
    </w:p>
    <w:p>
      <w:pPr>
        <w:spacing w:after="80"/>
        <w:jc w:val="center"/>
      </w:pPr>
      <w:r>
        <w:rPr>
          <w:rFonts w:ascii="Arial" w:cs="Arial" w:eastAsia="Arial" w:hAnsi="Arial"/>
          <w:color w:val="7F8C8D"/>
          <w:sz w:val="22"/>
          <w:szCs w:val="22"/>
        </w:rPr>
        <w:t xml:space="preserve">March 2026 — v1.0</w:t>
      </w:r>
    </w:p>
    <w:p>
      <w:r>
        <w:br w:type="page"/>
      </w:r>
    </w:p>
    <w:p>
      <w:pPr>
        <w:pStyle w:val="Heading1"/>
      </w:pPr>
      <w:r>
        <w:t xml:space="preserve">1. Product Overview</w:t>
      </w:r>
    </w:p>
    <w:p>
      <w:pPr>
        <w:spacing w:after="120"/>
      </w:pPr>
      <w:r>
        <w:rPr>
          <w:rFonts w:ascii="Arial" w:cs="Arial" w:eastAsia="Arial" w:hAnsi="Arial"/>
          <w:sz w:val="22"/>
          <w:szCs w:val="22"/>
        </w:rPr>
        <w:t xml:space="preserve">SOAP integrates study scheduling, session logging, and micro-learning content into a single mobile app personalized by the candidate’s specific edital. The product targets Brazilian concurseiros who currently juggle disconnected tools—spreadsheets, question banks, video courses, and flashcard apps—none of which share data or understand the candidate’s exam.</w:t>
      </w:r>
    </w:p>
    <w:p>
      <w:pPr>
        <w:spacing w:after="80"/>
      </w:pPr>
    </w:p>
    <w:p>
      <w:pPr>
        <w:spacing w:after="120"/>
      </w:pPr>
      <w:r>
        <w:rPr>
          <w:rFonts w:ascii="Arial" w:cs="Arial" w:eastAsia="Arial" w:hAnsi="Arial"/>
          <w:sz w:val="22"/>
          <w:szCs w:val="22"/>
        </w:rPr>
        <w:t xml:space="preserve">Phase 1 delivers three integrated modules that form a self-reinforcing loop: the candidate arrives via a free AI-generated schedule, builds a daily habit through study logging, and converts to a paid subscriber for micro-learning content surfaced at the right moment in their plan.</w:t>
      </w:r>
    </w:p>
    <w:p>
      <w:pPr>
        <w:pBdr>
          <w:bottom w:val="single" w:color="2E86C1" w:sz="6" w:space="1"/>
        </w:pBdr>
        <w:spacing w:after="200" w:before="200"/>
      </w:pPr>
    </w:p>
    <w:p>
      <w:pPr>
        <w:pStyle w:val="Heading1"/>
      </w:pPr>
      <w:r>
        <w:t xml:space="preserve">2. Constraints &amp; Decisions Already Made</w:t>
      </w:r>
    </w:p>
    <w:p>
      <w:pPr>
        <w:spacing w:after="120"/>
      </w:pPr>
      <w:r>
        <w:rPr>
          <w:rFonts w:ascii="Arial" w:cs="Arial" w:eastAsia="Arial" w:hAnsi="Arial"/>
          <w:sz w:val="22"/>
          <w:szCs w:val="22"/>
        </w:rPr>
        <w:t xml:space="preserve">The following choices are locked for Phase 1 and should not be re-litigated without new evidence.</w:t>
      </w:r>
    </w:p>
    <w:p>
      <w:pPr>
        <w:spacing w:after="60"/>
      </w:pPr>
    </w:p>
    <w:p>
      <w:pPr>
        <w:pStyle w:val="Heading2"/>
      </w:pPr>
      <w: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Mobile framework</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React Native (single codebase for iOS + Android)</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Backend runtime</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Node.js</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Primary database</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PostgreSQL (structured data) + MongoDB (flexible schemas)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AI provider</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Google Gemini API</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AI model — free tier</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Gemini Flash-Lite (minimal cost per call)</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AI model — paid tier</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Gemini 2.5 Pro (richer output for subscribers)</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Hosting — Phase 1</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Oracle Cloud Free Tier (compute + DB) + Vercel (API / SSR)</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CI/CD</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GitHub Actions (assumed from Node.js / Vercel ecosystem)</w:t>
            </w:r>
          </w:p>
        </w:tc>
      </w:tr>
    </w:tbl>
    <w:p>
      <w:pPr>
        <w:spacing w:after="80"/>
      </w:pPr>
    </w:p>
    <w:p>
      <w:pPr>
        <w:pStyle w:val="Heading2"/>
      </w:pPr>
      <w:r>
        <w:t xml:space="preserve">2.2 Business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Auth provider</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TBD — needs decision (Firebase Auth, Supabase Auth, or custom JWT)</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Payment gateway</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TBD — needs decision (Stripe Brazil, Pagar.me, or Mercado Pago)</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Deployment target</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iOS App Store + Google Play Store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Budget ceiling</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R$ 120–155k total Phase 1 investment (incl. 20% contingency)</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Timeline</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4–5 months to commercial launch</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Monetization start</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Month 3 (micro-learning paywall goes live)</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Pricing</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 / R$ 9 / R$ 15 / R$ 30 (mentor) per month</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Content production</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AI-generated in volume, professor-reviewed and signed in batches</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First content areas</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Gestão Pública, Economia do Setor Público, Controle</w:t>
            </w:r>
          </w:p>
        </w:tc>
      </w:tr>
    </w:tbl>
    <w:p>
      <w:pPr>
        <w:spacing w:after="80"/>
      </w:pPr>
    </w:p>
    <w:p>
      <w:pPr>
        <w:pStyle w:val="Heading2"/>
      </w:pPr>
      <w:r>
        <w:t xml:space="preserve">2.3 Hard Constraints</w:t>
      </w:r>
    </w:p>
    <w:p>
      <w:pPr>
        <w:pStyle w:val="ListParagraph"/>
        <w:numPr>
          <w:ilvl w:val="0"/>
          <w:numId w:val="2"/>
        </w:numPr>
        <w:spacing w:after="60"/>
      </w:pPr>
      <w:r>
        <w:rPr>
          <w:rFonts w:ascii="Arial" w:cs="Arial" w:eastAsia="Arial" w:hAnsi="Arial"/>
          <w:sz w:val="22"/>
          <w:szCs w:val="22"/>
        </w:rPr>
        <w:t xml:space="preserve">The free tier must feel complete enough to create daily habit (schedule + logging).</w:t>
      </w:r>
    </w:p>
    <w:p>
      <w:pPr>
        <w:pStyle w:val="ListParagraph"/>
        <w:numPr>
          <w:ilvl w:val="0"/>
          <w:numId w:val="2"/>
        </w:numPr>
        <w:spacing w:after="60"/>
      </w:pPr>
      <w:r>
        <w:rPr>
          <w:rFonts w:ascii="Arial" w:cs="Arial" w:eastAsia="Arial" w:hAnsi="Arial"/>
          <w:sz w:val="22"/>
          <w:szCs w:val="22"/>
        </w:rPr>
        <w:t xml:space="preserve">No gamification in Phase 1 (deferred to Phase 2: “compassionate gamification”).</w:t>
      </w:r>
    </w:p>
    <w:p>
      <w:pPr>
        <w:pStyle w:val="ListParagraph"/>
        <w:numPr>
          <w:ilvl w:val="0"/>
          <w:numId w:val="2"/>
        </w:numPr>
        <w:spacing w:after="60"/>
      </w:pPr>
      <w:r>
        <w:rPr>
          <w:rFonts w:ascii="Arial" w:cs="Arial" w:eastAsia="Arial" w:hAnsi="Arial"/>
          <w:sz w:val="22"/>
          <w:szCs w:val="22"/>
        </w:rPr>
        <w:t xml:space="preserve">Questions in quizzes are AI-generated originals — never sourced from past exams.</w:t>
      </w:r>
    </w:p>
    <w:p>
      <w:pPr>
        <w:pStyle w:val="ListParagraph"/>
        <w:numPr>
          <w:ilvl w:val="0"/>
          <w:numId w:val="2"/>
        </w:numPr>
        <w:spacing w:after="60"/>
      </w:pPr>
      <w:r>
        <w:rPr>
          <w:rFonts w:ascii="Arial" w:cs="Arial" w:eastAsia="Arial" w:hAnsi="Arial"/>
          <w:sz w:val="22"/>
          <w:szCs w:val="22"/>
        </w:rPr>
        <w:t xml:space="preserve">Professor must review and sign every piece of content before publishing.</w:t>
      </w:r>
    </w:p>
    <w:p>
      <w:pPr>
        <w:pStyle w:val="ListParagraph"/>
        <w:numPr>
          <w:ilvl w:val="0"/>
          <w:numId w:val="2"/>
        </w:numPr>
        <w:spacing w:after="60"/>
      </w:pPr>
      <w:r>
        <w:rPr>
          <w:rFonts w:ascii="Arial" w:cs="Arial" w:eastAsia="Arial" w:hAnsi="Arial"/>
          <w:sz w:val="22"/>
          <w:szCs w:val="22"/>
        </w:rPr>
        <w:t xml:space="preserve">Infrastructure cost must stay near zero until 500 active users.</w:t>
      </w:r>
    </w:p>
    <w:p>
      <w:pPr>
        <w:pStyle w:val="ListParagraph"/>
        <w:numPr>
          <w:ilvl w:val="0"/>
          <w:numId w:val="2"/>
        </w:numPr>
        <w:spacing w:after="60"/>
      </w:pPr>
      <w:r>
        <w:rPr>
          <w:rFonts w:ascii="Arial" w:cs="Arial" w:eastAsia="Arial" w:hAnsi="Arial"/>
          <w:sz w:val="22"/>
          <w:szCs w:val="22"/>
        </w:rPr>
        <w:t xml:space="preserve">Go/no-go gate at end of Phase 1 before any Phase 2 spend is committed.</w:t>
      </w:r>
    </w:p>
    <w:p>
      <w:pPr>
        <w:pBdr>
          <w:bottom w:val="single" w:color="2E86C1" w:sz="6" w:space="1"/>
        </w:pBdr>
        <w:spacing w:after="200" w:before="200"/>
      </w:pPr>
    </w:p>
    <w:p>
      <w:pPr>
        <w:pStyle w:val="Heading1"/>
      </w:pPr>
      <w:r>
        <w:t xml:space="preserve">3. Module 1 — Motor de Aquisição (Acquisition Engine)</w:t>
      </w:r>
    </w:p>
    <w:p>
      <w:pPr>
        <w:spacing w:after="120"/>
      </w:pPr>
      <w:r>
        <w:rPr>
          <w:rFonts w:ascii="Arial" w:cs="Arial" w:eastAsia="Arial" w:hAnsi="Arial"/>
          <w:sz w:val="22"/>
          <w:szCs w:val="22"/>
        </w:rPr>
        <w:t xml:space="preserve">Access: Free. Purpose: Get the candidate into the app via a personalized schedule generated from their edital in under two minutes.</w:t>
      </w:r>
    </w:p>
    <w:p>
      <w:pPr>
        <w:spacing w:after="80"/>
      </w:pPr>
    </w:p>
    <w:p>
      <w:pPr>
        <w:pStyle w:val="Heading2"/>
      </w:pPr>
      <w:r>
        <w:t xml:space="preserve">3.1 Core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160"/>
        <w:gridCol w:w="34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Actor</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Response / Result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Opens app for the first time</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Onboarding screen with search field + “Paste edital link” button</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Searches concurso name or pastes edital URL / uploads PDF</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Autocomplete from 500-concurso database; or Gemini parses the uploaded edital</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Extracts disciplinas, weights, and syllabus from edital</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Displays parsed structure for candidate review / correction</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Confirms or edits the parsed structure</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System saves the validated edital profile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Sets available study hours per week and exam date</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Simple sliders / date picker</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Cross-references edital with banca/órgão exam history to identify high-incidence topics</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Generates weighted topic-priority model</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Allocates hours across disciplinas by weight, priority, and availability</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Renders personalized weekly schedule</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Views generated schedule, optionally adjusts blocks</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Schedule is saved and becomes the app’s home screen</w:t>
            </w:r>
          </w:p>
        </w:tc>
      </w:tr>
    </w:tbl>
    <w:p>
      <w:pPr>
        <w:spacing w:after="80"/>
      </w:pPr>
    </w:p>
    <w:p>
      <w:pPr>
        <w:pStyle w:val="Heading2"/>
      </w:pPr>
      <w:r>
        <w:t xml:space="preserve">3.2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Criterion</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Measurable Target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D1</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Edital parser extracts disciplinas, weights, and syllabus from a pasted URL or uploaded PDF</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95%+ accuracy on top-20 bancas (CESPE, FGV, FCC, VUNESP, etc.)</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D2</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Autocomplete returns relevant concursos from pre-loaded database</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&lt; 300ms response; 500 concursos indexed</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D3</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Schedule generation completes within the promised time window</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End-to-end onboarding ≤ 2 minutes (from paste to schedule)</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D4</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Candidate can manually correct any misparsed field before schedule generation</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Edit screen covers disciplinas, weights, hours, date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D5</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Historical banca data influences topic prioritization</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At least top-50 concursos have historical topic-incidence data</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D6</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Generated schedule is visible as the app’s primary home view</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 screen loads schedule in &lt; 1s on a mid-range Android device</w:t>
            </w:r>
          </w:p>
        </w:tc>
      </w:tr>
    </w:tbl>
    <w:p>
      <w:pPr>
        <w:pBdr>
          <w:bottom w:val="single" w:color="2E86C1" w:sz="6" w:space="1"/>
        </w:pBdr>
        <w:spacing w:after="200" w:before="200"/>
      </w:pPr>
    </w:p>
    <w:p>
      <w:pPr>
        <w:pStyle w:val="Heading1"/>
      </w:pPr>
      <w:r>
        <w:t xml:space="preserve">4. Module 2 — Base de Retenção (Retention Base)</w:t>
      </w:r>
    </w:p>
    <w:p>
      <w:pPr>
        <w:spacing w:after="120"/>
      </w:pPr>
      <w:r>
        <w:rPr>
          <w:rFonts w:ascii="Arial" w:cs="Arial" w:eastAsia="Arial" w:hAnsi="Arial"/>
          <w:sz w:val="22"/>
          <w:szCs w:val="22"/>
        </w:rPr>
        <w:t xml:space="preserve">Access: Free. Purpose: Transform the one-time schedule generation into a daily habit by giving the candidate a reason to open the app every study session.</w:t>
      </w:r>
    </w:p>
    <w:p>
      <w:pPr>
        <w:spacing w:after="80"/>
      </w:pPr>
    </w:p>
    <w:p>
      <w:pPr>
        <w:pStyle w:val="Heading2"/>
      </w:pPr>
      <w:r>
        <w:t xml:space="preserve">4.1 Core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160"/>
        <w:gridCol w:w="34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Actor</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Response / Result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Opens app to begin a study session</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 screen shows today’s scheduled topics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Taps a topic to start studying</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Timer begins (optional); topic is marked “in progress”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Finishes studying and logs the session</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Minimal input: topic (pre-filled), duration, optional notes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Records the session and updates progress dashboard</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Progress bar per disciplina: hours studied vs. planned</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Recalculates the schedule based on actual progress</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Remaining topics are dynamically re-allocated across future days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Views progress dashboard</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Visual breakdown: coverage %, hours per disciplina, topics completed</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Sends configurable push notification before next scheduled block</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Notification respects user-set quiet hours</w:t>
            </w:r>
          </w:p>
        </w:tc>
      </w:tr>
    </w:tbl>
    <w:p>
      <w:pPr>
        <w:spacing w:after="80"/>
      </w:pPr>
    </w:p>
    <w:p>
      <w:pPr>
        <w:pStyle w:val="Heading2"/>
      </w:pPr>
      <w:r>
        <w:t xml:space="preserve">4.2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Criterion</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Measurable Target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D1</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Session logging requires ≤ 2 taps to complete (topic pre-filled from schedule)</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Measured via UX test: 90% of users complete log in &lt; 15 seconds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D2</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 shows hours studied vs. planned per disciplina</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 loads in &lt; 1s; data updates in real-time after log</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D3</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Schedule dynamically re-plans after each logged session</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Updated schedule visible within 3 seconds of logging</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D4</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Push notifications are configurable (time, frequency, quiet hours)</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Settings screen with toggles; notifications fire within ±5 min of target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D5</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Candidate who logs 0 sessions in 48h receives a re-engagement nudge</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Nudge sent automatically; copy is non-punitive</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D6</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Session history is browsable and searchable</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history accessible; filterable by disciplina and date range</w:t>
            </w:r>
          </w:p>
        </w:tc>
      </w:tr>
    </w:tbl>
    <w:p>
      <w:pPr>
        <w:pBdr>
          <w:bottom w:val="single" w:color="2E86C1" w:sz="6" w:space="1"/>
        </w:pBdr>
        <w:spacing w:after="200" w:before="200"/>
      </w:pPr>
    </w:p>
    <w:p>
      <w:pPr>
        <w:pStyle w:val="Heading1"/>
      </w:pPr>
      <w:r>
        <w:t xml:space="preserve">5. Module 3 — Microlearning (Paid)</w:t>
      </w:r>
    </w:p>
    <w:p>
      <w:pPr>
        <w:spacing w:after="120"/>
      </w:pPr>
      <w:r>
        <w:rPr>
          <w:rFonts w:ascii="Arial" w:cs="Arial" w:eastAsia="Arial" w:hAnsi="Arial"/>
          <w:sz w:val="22"/>
          <w:szCs w:val="22"/>
        </w:rPr>
        <w:t xml:space="preserve">Access: Paid (R$ 15/month). Purpose: Deliver topic-specific review content at the exact moment the schedule says the candidate should study it. This is the revenue engine.</w:t>
      </w:r>
    </w:p>
    <w:p>
      <w:pPr>
        <w:spacing w:after="80"/>
      </w:pPr>
    </w:p>
    <w:p>
      <w:pPr>
        <w:pStyle w:val="Heading2"/>
      </w:pPr>
      <w:r>
        <w:t xml:space="preserve">5.1 Core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160"/>
        <w:gridCol w:w="34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Actor</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Response / Result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Views today’s schedule (from Module 1)</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Each scheduled topic shows a “Study material” badge if content exists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Taps “Study material” on a topic</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 users see a preview + paywall. Paid users enter the study interface.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Chooses a content format</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format tabs: Resumo (summary), Mapa Mental, Flashcards, Teste de Fixação, Vídeos-Pílula (future)</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4a</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Reads structured summary</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Rendered markdown-like content; professor name and area visible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4b</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Views AI-generated mind map for the topic</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Visual node-based map; zoomable; generated from edital syllabus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4c</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Starts a flashcard session (spaced repetition)</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Cards appear one at a time; candidate self-rates recall; SRS algorithm schedules next review</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4d</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Candidate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Takes a fixation quiz (AI-generated original questions)</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5–10 questions per topic; immediate feedback; performance recorded</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Records all interactions and performance data</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 feeds into SRS scheduling and future analytics (Phase 2)</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Surfaces next-due flashcard reviews on the home screen</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Review queue integrated into daily schedule view</w:t>
            </w:r>
          </w:p>
        </w:tc>
      </w:tr>
    </w:tbl>
    <w:p>
      <w:pPr>
        <w:spacing w:after="80"/>
      </w:pPr>
    </w:p>
    <w:p>
      <w:pPr>
        <w:pStyle w:val="Heading2"/>
      </w:pPr>
      <w:r>
        <w:t xml:space="preserve">5.2 Content Production Flow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160"/>
        <w:gridCol w:w="34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Actor</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Response / Result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 generates content batch per topic (all 4 formats)</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Draft content stored in professor curation queue</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Professor</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Opens curation panel; reviews batch</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Approve / edit / reject per item; inline editor</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Professor</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Approves and signs the batch</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Content marked as published; professor name attached</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System</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Content becomes available to paid subscribers</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Indexed by edital topic; linked to schedule entries</w:t>
            </w:r>
          </w:p>
        </w:tc>
      </w:tr>
    </w:tbl>
    <w:p>
      <w:pPr>
        <w:spacing w:after="80"/>
      </w:pPr>
    </w:p>
    <w:p>
      <w:pPr>
        <w:pStyle w:val="Heading2"/>
      </w:pPr>
      <w:r>
        <w:t xml:space="preserve">5.3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Criterion</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Measurable Target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D1</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Tapping a scheduled topic opens the content interface with all available formats</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Content loads in &lt; 2s; format tabs are functional</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D2</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Paywall blocks content for non-subscribers with a clear upgrade CTA</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Conversion screen shows pricing, value prop, and one-tap subscribe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D3</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Flashcard SRS correctly schedules reviews based on self-rated recall</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Algorithm passes unit tests for SM-2 or equivalent; intervals increase with correct recalls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D4</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Quiz generates 5–10 original questions per topic via Gemini API</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Questions are unique (not from past exams); validated by professor before going live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D5</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Mind maps render from edital syllabus and are zoomable on mobile</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Map displays on screens ≥ 5” without horizontal scroll; professor-reviewed</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D6</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Professor curation panel allows review, edit, approve, and reject per item</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Professor can process a 20-item batch in &lt; 30 minutes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D7</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Published content is linked to the correct edital topics in the schedule</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Zero orphan content (every published item maps to ≥ 1 edital topic)</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D8</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Three content areas available at launch</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Gestão Pública, Economia do Setor Público, and Controle fully covered</w:t>
            </w:r>
          </w:p>
        </w:tc>
      </w:tr>
    </w:tbl>
    <w:p>
      <w:pPr>
        <w:pBdr>
          <w:bottom w:val="single" w:color="2E86C1" w:sz="6" w:space="1"/>
        </w:pBdr>
        <w:spacing w:after="200" w:before="200"/>
      </w:pPr>
    </w:p>
    <w:p>
      <w:pPr>
        <w:pStyle w:val="Heading1"/>
      </w:pPr>
      <w:r>
        <w:t xml:space="preserve">6. Cross-Cutting Concerns</w:t>
      </w:r>
    </w:p>
    <w:p>
      <w:pPr>
        <w:spacing w:after="60"/>
      </w:pPr>
    </w:p>
    <w:p>
      <w:pPr>
        <w:pStyle w:val="Heading2"/>
      </w:pPr>
      <w:r>
        <w:t xml:space="preserve">6.1 Authentication &amp;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Provider</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TBD (Firebase Auth, Supabase Auth, or custom). Decision needed before sprint 1.</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Methods</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Email + password; Google SSO; Apple Sign-In (required for iOS)</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Free → Paid transition</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Account persists; subscription unlocks Module 3 content in-place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Multi-device sync</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Included from R$ 9 plan (Registro). Free tier is single-device.</w:t>
            </w:r>
          </w:p>
        </w:tc>
      </w:tr>
    </w:tbl>
    <w:p>
      <w:pPr>
        <w:spacing w:after="80"/>
      </w:pPr>
    </w:p>
    <w:p>
      <w:pPr>
        <w:pStyle w:val="Heading2"/>
      </w:pPr>
      <w:r>
        <w:t xml:space="preserve">6.2 Payments &amp;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Gateway</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TBD (Stripe Brazil, Pagar.me, or Mercado Pago). Must support Pix + credit card.</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Billing model</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Monthly recurring. No annual plans in Phase 1.</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In-app purchase</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Required for iOS (Apple IAP 30% cut). Android can use external gateway.</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Upgrade path</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 → Registro (R$ 9) → Microlearning (R$ 15). Each tier includes all below.</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Cancellation</w:t>
            </w:r>
          </w:p>
        </w:tc>
        <w:tc>
          <w:tcPr>
            <w:tcW w:type="dxa" w:w="6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Self-serve in settings. Access continues until billing period ends.</w:t>
            </w:r>
          </w:p>
        </w:tc>
      </w:tr>
    </w:tbl>
    <w:p>
      <w:pPr>
        <w:spacing w:after="80"/>
      </w:pPr>
    </w:p>
    <w:p>
      <w:pPr>
        <w:pStyle w:val="Heading2"/>
      </w:pPr>
      <w:r>
        <w:t xml:space="preserve">6.3 Offline &amp; Performance</w:t>
      </w:r>
    </w:p>
    <w:p>
      <w:pPr>
        <w:pStyle w:val="ListParagraph"/>
        <w:numPr>
          <w:ilvl w:val="0"/>
          <w:numId w:val="2"/>
        </w:numPr>
        <w:spacing w:after="60"/>
      </w:pPr>
      <w:r>
        <w:rPr>
          <w:rFonts w:ascii="Arial" w:cs="Arial" w:eastAsia="Arial" w:hAnsi="Arial"/>
          <w:sz w:val="22"/>
          <w:szCs w:val="22"/>
        </w:rPr>
        <w:t xml:space="preserve">Schedule and logged sessions must be cached locally for offline viewing.</w:t>
      </w:r>
    </w:p>
    <w:p>
      <w:pPr>
        <w:pStyle w:val="ListParagraph"/>
        <w:numPr>
          <w:ilvl w:val="0"/>
          <w:numId w:val="2"/>
        </w:numPr>
        <w:spacing w:after="60"/>
      </w:pPr>
      <w:r>
        <w:rPr>
          <w:rFonts w:ascii="Arial" w:cs="Arial" w:eastAsia="Arial" w:hAnsi="Arial"/>
          <w:sz w:val="22"/>
          <w:szCs w:val="22"/>
        </w:rPr>
        <w:t xml:space="preserve">Content consumption (summaries, flashcards) should work offline once downloaded.</w:t>
      </w:r>
    </w:p>
    <w:p>
      <w:pPr>
        <w:pStyle w:val="ListParagraph"/>
        <w:numPr>
          <w:ilvl w:val="0"/>
          <w:numId w:val="2"/>
        </w:numPr>
        <w:spacing w:after="60"/>
      </w:pPr>
      <w:r>
        <w:rPr>
          <w:rFonts w:ascii="Arial" w:cs="Arial" w:eastAsia="Arial" w:hAnsi="Arial"/>
          <w:sz w:val="22"/>
          <w:szCs w:val="22"/>
        </w:rPr>
        <w:t xml:space="preserve">Target cold-start time: &lt; 3 seconds on a mid-range Android (e.g., Moto G series).</w:t>
      </w:r>
    </w:p>
    <w:p>
      <w:pPr>
        <w:pStyle w:val="ListParagraph"/>
        <w:numPr>
          <w:ilvl w:val="0"/>
          <w:numId w:val="2"/>
        </w:numPr>
        <w:spacing w:after="60"/>
      </w:pPr>
      <w:r>
        <w:rPr>
          <w:rFonts w:ascii="Arial" w:cs="Arial" w:eastAsia="Arial" w:hAnsi="Arial"/>
          <w:sz w:val="22"/>
          <w:szCs w:val="22"/>
        </w:rPr>
        <w:t xml:space="preserve">Gemini API calls are server-side only; client never calls the AI provider directly.</w:t>
      </w:r>
    </w:p>
    <w:p>
      <w:pPr>
        <w:spacing w:after="80"/>
      </w:pPr>
    </w:p>
    <w:p>
      <w:pPr>
        <w:pStyle w:val="Heading2"/>
      </w:pPr>
      <w:r>
        <w:t xml:space="preserve">6.4 Analytics &amp; Observability</w:t>
      </w:r>
    </w:p>
    <w:p>
      <w:pPr>
        <w:pStyle w:val="ListParagraph"/>
        <w:numPr>
          <w:ilvl w:val="0"/>
          <w:numId w:val="2"/>
        </w:numPr>
        <w:spacing w:after="60"/>
      </w:pPr>
      <w:r>
        <w:rPr>
          <w:rFonts w:ascii="Arial" w:cs="Arial" w:eastAsia="Arial" w:hAnsi="Arial"/>
          <w:sz w:val="22"/>
          <w:szCs w:val="22"/>
        </w:rPr>
        <w:t xml:space="preserve">Event tracking for: onboarding completion, session logged, content viewed, paywall shown, subscription started, subscription cancelled.</w:t>
      </w:r>
    </w:p>
    <w:p>
      <w:pPr>
        <w:pStyle w:val="ListParagraph"/>
        <w:numPr>
          <w:ilvl w:val="0"/>
          <w:numId w:val="2"/>
        </w:numPr>
        <w:spacing w:after="60"/>
      </w:pPr>
      <w:r>
        <w:rPr>
          <w:rFonts w:ascii="Arial" w:cs="Arial" w:eastAsia="Arial" w:hAnsi="Arial"/>
          <w:sz w:val="22"/>
          <w:szCs w:val="22"/>
        </w:rPr>
        <w:t xml:space="preserve">Funnel dashboard: install → onboarding complete → first session logged → 7-day active → paywall view → conversion.</w:t>
      </w:r>
    </w:p>
    <w:p>
      <w:pPr>
        <w:pStyle w:val="ListParagraph"/>
        <w:numPr>
          <w:ilvl w:val="0"/>
          <w:numId w:val="2"/>
        </w:numPr>
        <w:spacing w:after="60"/>
      </w:pPr>
      <w:r>
        <w:rPr>
          <w:rFonts w:ascii="Arial" w:cs="Arial" w:eastAsia="Arial" w:hAnsi="Arial"/>
          <w:sz w:val="22"/>
          <w:szCs w:val="22"/>
        </w:rPr>
        <w:t xml:space="preserve">Server-side error logging and Gemini API latency monitoring from day 1.</w:t>
      </w:r>
    </w:p>
    <w:p>
      <w:pPr>
        <w:pBdr>
          <w:bottom w:val="single" w:color="2E86C1" w:sz="6" w:space="1"/>
        </w:pBdr>
        <w:spacing w:after="200" w:before="200"/>
      </w:pPr>
    </w:p>
    <w:p>
      <w:pPr>
        <w:pStyle w:val="Heading1"/>
      </w:pPr>
      <w:r>
        <w:t xml:space="preserve">7. Go / No-Go Gate — Phase 1</w:t>
      </w:r>
    </w:p>
    <w:p>
      <w:pPr>
        <w:spacing w:after="120"/>
      </w:pPr>
      <w:r>
        <w:rPr>
          <w:rFonts w:ascii="Arial" w:cs="Arial" w:eastAsia="Arial" w:hAnsi="Arial"/>
          <w:sz w:val="22"/>
          <w:szCs w:val="22"/>
        </w:rPr>
        <w:t xml:space="preserve">Phase 2 investment is contingent on hitting these thresholds within the stated timeframes.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  GO — Advance if…</w:t>
            </w:r>
          </w:p>
        </w:tc>
        <w:tc>
          <w:tcPr>
            <w:tcW w:type="dxa" w:w="4680"/>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r>
              <w:rPr>
                <w:rFonts w:ascii="Arial" w:cs="Arial" w:eastAsia="Arial" w:hAnsi="Arial"/>
                <w:b/>
                <w:bCs/>
                <w:color w:val="FFFFFF"/>
                <w:sz w:val="20"/>
                <w:szCs w:val="20"/>
              </w:rPr>
              <w:t xml:space="preserve">🛑  NO-GO — Pause if…</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500+ active users by end of month 2</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&lt; 200 active users after 60 days of launch</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Freemium → paid conversion &gt; 8% in month 3</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Conversion &lt; 4% after 60 days of active billing</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MRR &gt; R$ 3,000 in month 4</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MRR insufficient to cover basic infra costs</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NPS &gt; 35 among first paying cohort</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NPS &lt; 20 — product not delivering perceived value</w:t>
            </w:r>
          </w:p>
        </w:tc>
      </w:tr>
    </w:tbl>
    <w:p>
      <w:pPr>
        <w:spacing w:after="80"/>
      </w:pPr>
    </w:p>
    <w:p>
      <w:pPr>
        <w:pBdr>
          <w:bottom w:val="single" w:color="2E86C1" w:sz="6" w:space="1"/>
        </w:pBdr>
        <w:spacing w:after="200" w:before="200"/>
      </w:pPr>
    </w:p>
    <w:p>
      <w:pPr>
        <w:pStyle w:val="Heading1"/>
      </w:pPr>
      <w:r>
        <w:t xml:space="preserve">8. Open Questions (Require Decision Before Sprint 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400"/>
        <w:gridCol w:w="37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Options / Context</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Why It Matters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OQ-1</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Auth provider</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Firebase Auth vs. Supabase Auth vs. custom JWT</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Affects SDK choice, user management, and cost at scale</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OQ-2</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Payment gateway</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Stripe Brazil vs. Pagar.me vs. Mercado Pago</w:t>
            </w:r>
          </w:p>
        </w:tc>
        <w:tc>
          <w:tcPr>
            <w:tcW w:type="dxa" w:w="3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Must support Pix, credit card, and recurring billing. Apple IAP required for iOS.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OQ-3</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Edital parser fallback UX</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What happens when Gemini can’t parse a PDF?</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Manual entry flow? Guided form? Accuracy target for auto-parse?</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OQ-4</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Offline-first architecture</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How deep does offline support go in Phase 1?</w:t>
            </w:r>
          </w:p>
        </w:tc>
        <w:tc>
          <w:tcPr>
            <w:tcW w:type="dxa" w:w="3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Schedule-only offline vs. full content caching. Affects storage and sync complexity.</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OQ-5</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SRS algorithm</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Use existing library (e.g., fsrs-js, sm-2) or build custom?</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Library reduces risk; custom allows tighter integration with analytics.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OQ-6</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000000"/>
                <w:sz w:val="20"/>
                <w:szCs w:val="20"/>
              </w:rPr>
              <w:t xml:space="preserve">Content format priority</w:t>
            </w:r>
          </w:p>
        </w:tc>
        <w:tc>
          <w:tcPr>
            <w:tcW w:type="dxa" w:w="3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Launch with 5 formats or focus on 3?</w:t>
            </w:r>
          </w:p>
        </w:tc>
        <w:tc>
          <w:tcPr>
            <w:tcW w:type="dxa" w:w="3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Summaries + flashcards + quizzes may be enough. Mind maps and video-pills can wait for Phase 2.</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OQ-7</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MongoDB necessity</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 a second database needed in Phase 1?</w:t>
            </w:r>
          </w:p>
        </w:tc>
        <w:tc>
          <w:tcPr>
            <w:tcW w:type="dxa" w:w="3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PostgreSQL JSONB may cover flexible schema needs; dropping MongoDB simplifies ops.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1"/>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1"/>
      </w:pBdr>
      <w:tabs>
        <w:tab w:val="right" w:pos="9026"/>
      </w:tabs>
    </w:pPr>
    <w:r>
      <w:rPr>
        <w:rFonts w:ascii="Arial" w:cs="Arial" w:eastAsia="Arial" w:hAnsi="Arial"/>
        <w:color w:val="7F8C8D"/>
        <w:sz w:val="16"/>
        <w:szCs w:val="16"/>
      </w:rPr>
      <w:t xml:space="preserve">SOAP — Product Brief</w:t>
    </w:r>
    <w:r>
      <w:rPr>
        <w:rFonts w:ascii="Arial" w:cs="Arial" w:eastAsia="Arial" w:hAnsi="Arial"/>
        <w:color w:val="7F8C8D"/>
        <w:sz w:val="16"/>
        <w:szCs w:val="16"/>
      </w:rPr>
      <w:t xml:space="preserve">	Phase 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2026-03-09T23:00:09.711Z</dcterms:created>
  <dcterms:modified xsi:type="dcterms:W3CDTF">2026-03-09T23:00:09.711Z</dcterms:modified>
</cp:coreProperties>
</file>

<file path=docProps/custom.xml><?xml version="1.0" encoding="utf-8"?>
<Properties xmlns="http://schemas.openxmlformats.org/officeDocument/2006/custom-properties" xmlns:vt="http://schemas.openxmlformats.org/officeDocument/2006/docPropsVTypes"/>
</file>