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</w:t>
      </w:r>
    </w:p>
    <w:p>
      <w:pPr>
        <w:pStyle w:val="Title"/>
        <w:spacing w:after="40"/>
      </w:pPr>
      <w:r>
        <w:t xml:space="preserve">Ítem 5. Resultado vs. caja: por qué difieren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Lo económico (devengado) no es lo financiero (percibido)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Contabilidad básica · Devengado vs. percibido</w:t>
      </w:r>
    </w:p>
    <w:p>
      <w:pPr>
        <w:pStyle w:val="Heading2"/>
        <w:spacing w:after="100" w:before="220"/>
      </w:pPr>
      <w:r>
        <w:t xml:space="preserve">Dos verdades simultáneas: ganar y quedarse sin caja</w:t>
      </w:r>
    </w:p>
    <w:p>
      <w:pPr>
        <w:spacing w:after="140" w:line="276"/>
      </w:pPr>
      <w:r>
        <w:t xml:space="preserve">La paradoja que desvela a todo dueño de PyME: el Estado de Resultados muestra </w:t>
      </w:r>
      <w:r>
        <w:rPr>
          <w:b/>
          <w:bCs/>
        </w:rPr>
        <w:t xml:space="preserve">ganancia</w:t>
      </w:r>
      <w:r>
        <w:t xml:space="preserve">, pero la caja está siempre </w:t>
      </w:r>
      <w:r>
        <w:rPr>
          <w:b/>
          <w:bCs/>
        </w:rPr>
        <w:t xml:space="preserve">tensa</w:t>
      </w:r>
      <w:r>
        <w:t xml:space="preserve">. Andina ganó 175 en 2024 y, sin embargo, recurre al descubierto bancario. No es un error contable ni una trampa: son </w:t>
      </w:r>
      <w:r>
        <w:rPr>
          <w:b/>
          <w:bCs/>
        </w:rPr>
        <w:t xml:space="preserve">dos verdades simultáneas</w:t>
      </w:r>
      <w:r>
        <w:t xml:space="preserve"> que miden cosas distintas.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resultado</w:t>
      </w:r>
      <w:r>
        <w:t xml:space="preserve"> es </w:t>
      </w:r>
      <w:r>
        <w:rPr>
          <w:b/>
          <w:bCs/>
        </w:rPr>
        <w:t xml:space="preserve">económico</w:t>
      </w:r>
      <w:r>
        <w:t xml:space="preserve"> y se mide por </w:t>
      </w:r>
      <w:r>
        <w:rPr>
          <w:b/>
          <w:bCs/>
        </w:rPr>
        <w:t xml:space="preserve">devengado</w:t>
      </w:r>
      <w:r>
        <w:t xml:space="preserve">: una venta se reconoce cuando se entrega la mercadería y se emite la factura, </w:t>
      </w:r>
      <w:r>
        <w:rPr>
          <w:b/>
          <w:bCs/>
        </w:rPr>
        <w:t xml:space="preserve">aunque todavía no se haya cobrado</w:t>
      </w:r>
      <w:r>
        <w:t xml:space="preserve">. La </w:t>
      </w:r>
      <w:r>
        <w:rPr>
          <w:b/>
          <w:bCs/>
        </w:rPr>
        <w:t xml:space="preserve">caja</w:t>
      </w:r>
      <w:r>
        <w:t xml:space="preserve"> es </w:t>
      </w:r>
      <w:r>
        <w:rPr>
          <w:b/>
          <w:bCs/>
        </w:rPr>
        <w:t xml:space="preserve">financiera</w:t>
      </w:r>
      <w:r>
        <w:t xml:space="preserve"> y se mide por </w:t>
      </w:r>
      <w:r>
        <w:rPr>
          <w:b/>
          <w:bCs/>
        </w:rPr>
        <w:t xml:space="preserve">percibido</w:t>
      </w:r>
      <w:r>
        <w:t xml:space="preserve">: solo cuenta el dinero que efectivamente entró o salió. Una empresa puede devengar una ganancia enorme y no haber cobrado un peso de ella.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Estado de Flujo de Efectivo</w:t>
      </w:r>
      <w:r>
        <w:t xml:space="preserve"> es el puente entre ambos mundos. Parte del resultado neto y le hace ajustes hasta llegar a la caja real. En Andina, ese puente revela exactamente por qué hay ganancia sin plata: la utilidad se quedó atrapada en cobranzas, inventarios y en el pago de intereses.</w:t>
      </w:r>
    </w:p>
    <w:p>
      <w:pPr>
        <w:pStyle w:val="Heading2"/>
        <w:spacing w:after="100" w:before="220"/>
      </w:pPr>
      <w:r>
        <w:t xml:space="preserve">El puente, línea por línea, en Andina</w:t>
      </w:r>
    </w:p>
    <w:p>
      <w:pPr>
        <w:spacing w:after="140" w:line="276"/>
      </w:pPr>
      <w:r>
        <w:t xml:space="preserve">Se arranca del </w:t>
      </w:r>
      <w:r>
        <w:rPr>
          <w:b/>
          <w:bCs/>
        </w:rPr>
        <w:t xml:space="preserve">resultado neto: 175</w:t>
      </w:r>
      <w:r>
        <w:t xml:space="preserve">. Se </w:t>
      </w:r>
      <w:r>
        <w:rPr>
          <w:b/>
          <w:bCs/>
        </w:rPr>
        <w:t xml:space="preserve">suman</w:t>
      </w:r>
      <w:r>
        <w:t xml:space="preserve"> las partidas que no son salida de caja: </w:t>
      </w:r>
      <w:r>
        <w:rPr>
          <w:b/>
          <w:bCs/>
        </w:rPr>
        <w:t xml:space="preserve">amortizaciones +290</w:t>
      </w:r>
      <w:r>
        <w:t xml:space="preserve"> (un gasto contable que no se paga) e </w:t>
      </w:r>
      <w:r>
        <w:rPr>
          <w:b/>
          <w:bCs/>
        </w:rPr>
        <w:t xml:space="preserve">intereses +560</w:t>
      </w:r>
      <w:r>
        <w:t xml:space="preserve"> (se aíslan de lo operativo). Luego se </w:t>
      </w:r>
      <w:r>
        <w:rPr>
          <w:b/>
          <w:bCs/>
        </w:rPr>
        <w:t xml:space="preserve">restan</w:t>
      </w:r>
      <w:r>
        <w:t xml:space="preserve"> las inmovilizaciones de capital de trabajo: el </w:t>
      </w:r>
      <w:r>
        <w:rPr>
          <w:b/>
          <w:bCs/>
        </w:rPr>
        <w:t xml:space="preserve">aumento de cuentas por cobrar −330</w:t>
      </w:r>
      <w:r>
        <w:t xml:space="preserve"> (ventas devengadas que no se cobraron) y el </w:t>
      </w:r>
      <w:r>
        <w:rPr>
          <w:b/>
          <w:bCs/>
        </w:rPr>
        <w:t xml:space="preserve">aumento de inventarios −550</w:t>
      </w:r>
      <w:r>
        <w:t xml:space="preserve"> (caja convertida en stock parado). Y se </w:t>
      </w:r>
      <w:r>
        <w:rPr>
          <w:b/>
          <w:bCs/>
        </w:rPr>
        <w:t xml:space="preserve">suma</w:t>
      </w:r>
      <w:r>
        <w:t xml:space="preserve"> el </w:t>
      </w:r>
      <w:r>
        <w:rPr>
          <w:b/>
          <w:bCs/>
        </w:rPr>
        <w:t xml:space="preserve">aumento de proveedores +160</w:t>
      </w:r>
      <w:r>
        <w:t xml:space="preserve"> (compras que aún no se pagaron, financiamiento gratis).</w:t>
      </w:r>
    </w:p>
    <w:p>
      <w:pPr>
        <w:spacing w:after="140" w:line="276"/>
      </w:pPr>
      <w:r>
        <w:t xml:space="preserve">El resultado de ese puente es un </w:t>
      </w:r>
      <w:r>
        <w:rPr>
          <w:b/>
          <w:bCs/>
        </w:rPr>
        <w:t xml:space="preserve">flujo operativo de 305</w:t>
      </w:r>
      <w:r>
        <w:t xml:space="preserve"> (antes de intereses e impuestos), muy distinto del resultado neto de 175. Pero la historia no termina ahí: hay que pagar el </w:t>
      </w:r>
      <w:r>
        <w:rPr>
          <w:b/>
          <w:bCs/>
        </w:rPr>
        <w:t xml:space="preserve">CAPEX de 440</w:t>
      </w:r>
      <w:r>
        <w:t xml:space="preserve"> (maquinaria), los </w:t>
      </w:r>
      <w:r>
        <w:rPr>
          <w:b/>
          <w:bCs/>
        </w:rPr>
        <w:t xml:space="preserve">intereses de 560</w:t>
      </w:r>
      <w:r>
        <w:t xml:space="preserve">, amortizar préstamos por 150 y repartir </w:t>
      </w:r>
      <w:r>
        <w:rPr>
          <w:b/>
          <w:bCs/>
        </w:rPr>
        <w:t xml:space="preserve">dividendos por 120</w:t>
      </w:r>
      <w:r>
        <w:t xml:space="preserve">. La caja operativa no alcanza para cubrir las inversiones y el servicio de deuda: por eso Andina </w:t>
      </w:r>
      <w:r>
        <w:rPr>
          <w:b/>
          <w:bCs/>
        </w:rPr>
        <w:t xml:space="preserve">toma 230 de descubierto</w:t>
      </w:r>
      <w:r>
        <w:t xml:space="preserve"> para tapar el bache.</w:t>
      </w:r>
    </w:p>
    <w:p>
      <w:pPr>
        <w:spacing w:after="140" w:line="276"/>
      </w:pPr>
      <w:r>
        <w:t xml:space="preserve">La lección es contundente: el </w:t>
      </w:r>
      <w:r>
        <w:rPr>
          <w:b/>
          <w:bCs/>
        </w:rPr>
        <w:t xml:space="preserve">+290 de amortizaciones</w:t>
      </w:r>
      <w:r>
        <w:t xml:space="preserve"> y el </w:t>
      </w:r>
      <w:r>
        <w:rPr>
          <w:b/>
          <w:bCs/>
        </w:rPr>
        <w:t xml:space="preserve">+560 de intereses</w:t>
      </w:r>
      <w:r>
        <w:t xml:space="preserve"> muestran que el EBITDA (1.120) </w:t>
      </w:r>
      <w:r>
        <w:rPr>
          <w:b/>
          <w:bCs/>
        </w:rPr>
        <w:t xml:space="preserve">no es caja</w:t>
      </w:r>
      <w:r>
        <w:t xml:space="preserve">; los </w:t>
      </w:r>
      <w:r>
        <w:rPr>
          <w:b/>
          <w:bCs/>
        </w:rPr>
        <w:t xml:space="preserve">−330 y −550</w:t>
      </w:r>
      <w:r>
        <w:t xml:space="preserve"> son la prueba en dólares de que el </w:t>
      </w:r>
      <w:r>
        <w:rPr>
          <w:b/>
          <w:bCs/>
        </w:rPr>
        <w:t xml:space="preserve">CCE largo del ítem 4</w:t>
      </w:r>
      <w:r>
        <w:t xml:space="preserve"> drena la caja; y el descubierto que aparece en el financiamiento es la </w:t>
      </w:r>
      <w:r>
        <w:rPr>
          <w:b/>
          <w:bCs/>
        </w:rPr>
        <w:t xml:space="preserve">consecuencia</w:t>
      </w:r>
      <w:r>
        <w:t xml:space="preserve">, no la causa. La caja no miente: cuenta la historia real que el margen del ER disimula.</w:t>
      </w:r>
    </w:p>
    <w:p>
      <w:pPr>
        <w:pStyle w:val="Heading2"/>
        <w:spacing w:after="100" w:before="220"/>
      </w:pPr>
      <w:r>
        <w:t xml:space="preserve">Por qué esto define todo el programa</w:t>
      </w:r>
    </w:p>
    <w:p>
      <w:pPr>
        <w:spacing w:after="140" w:line="276"/>
      </w:pPr>
      <w:r>
        <w:t xml:space="preserve">Esta distinción es la </w:t>
      </w:r>
      <w:r>
        <w:rPr>
          <w:b/>
          <w:bCs/>
        </w:rPr>
        <w:t xml:space="preserve">bisagra conceptual</w:t>
      </w:r>
      <w:r>
        <w:t xml:space="preserve"> de toda la academia. La contabilidad de </w:t>
      </w:r>
      <w:r>
        <w:rPr>
          <w:b/>
          <w:bCs/>
        </w:rPr>
        <w:t xml:space="preserve">presentación</w:t>
      </w:r>
      <w:r>
        <w:t xml:space="preserve"> (devengado, resultado) muestra una empresa rentable; la mirada </w:t>
      </w:r>
      <w:r>
        <w:rPr>
          <w:b/>
          <w:bCs/>
        </w:rPr>
        <w:t xml:space="preserve">financiera y de gestión</w:t>
      </w:r>
      <w:r>
        <w:t xml:space="preserve"> (caja, valor) muestra una empresa que destruye valor por mala rotación, cobranzas lentas y deuda cara. Andina "luce sana" y a la vez está en problemas: ambas cosas son ciertas según qué lente uses.</w:t>
      </w:r>
    </w:p>
    <w:p>
      <w:pPr>
        <w:spacing w:after="140" w:line="276"/>
      </w:pPr>
      <w:r>
        <w:t xml:space="preserve">La caja conecta con todo lo demás. El </w:t>
      </w:r>
      <w:r>
        <w:rPr>
          <w:b/>
          <w:bCs/>
        </w:rPr>
        <w:t xml:space="preserve">+290 de amortizaciones</w:t>
      </w:r>
      <w:r>
        <w:t xml:space="preserve"> anticipa que el resultado contable está "contaminado" por gastos no erogables (clave para el NOPAT y el CFROI ajustado por inflación). Los </w:t>
      </w:r>
      <w:r>
        <w:rPr>
          <w:b/>
          <w:bCs/>
        </w:rPr>
        <w:t xml:space="preserve">−330 y −550</w:t>
      </w:r>
      <w:r>
        <w:t xml:space="preserve"> son la traducción a dólares del </w:t>
      </w:r>
      <w:r>
        <w:rPr>
          <w:b/>
          <w:bCs/>
        </w:rPr>
        <w:t xml:space="preserve">CCE</w:t>
      </w:r>
      <w:r>
        <w:t xml:space="preserve"> (ítem 4): días de cobranza e inventario convertidos en caja drenada. Y el </w:t>
      </w:r>
      <w:r>
        <w:rPr>
          <w:b/>
          <w:bCs/>
        </w:rPr>
        <w:t xml:space="preserve">−560 de intereses</w:t>
      </w:r>
      <w:r>
        <w:t xml:space="preserve"> apunta a la estructura de deuda y al WACC.</w:t>
      </w:r>
    </w:p>
    <w:p>
      <w:pPr>
        <w:spacing w:after="140" w:line="276"/>
      </w:pPr>
      <w:r>
        <w:t xml:space="preserve">El cierre de la Semana 1: el resultado neto contesta "¿la empresa ganó?", pero la pregunta de valor es </w:t>
      </w:r>
      <w:r>
        <w:rPr>
          <w:b/>
          <w:bCs/>
        </w:rPr>
        <w:t xml:space="preserve">"¿la empresa generó caja y rindió por encima del costo del capital?"</w:t>
      </w:r>
      <w:r>
        <w:t xml:space="preserve">. Devengar una ganancia y consumir caja al mismo tiempo no es contradicción: es el síntoma de una empresa que necesita arreglar su capital de trabajo y su financiamiento antes de celebrar el margen. Eso es lo que el resto del programa va a desarmar.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Resultado neto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(+) Amortizaciones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(+) Intereses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(−) Aumento cuentas por cobrar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330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(−) Aumento de inventarios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(+) Aumento de proveedores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160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Ajustes no erogables (+amort +int.)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amort+intereses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Variación de capital de trabajo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-deltaCxc-deltaInv+deltaProv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Flujo operativo (antes int. e imp.)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neto+ajustesNoCaja+varCapTrabajo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Brecha flujo − resultado neto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flujoOperativo-neto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2026-06-24T11:50:52.033Z</dcterms:created>
  <dcterms:modified xsi:type="dcterms:W3CDTF">2026-06-24T11:50:52.033Z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