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18"/>
          <w:szCs w:val="18"/>
        </w:rPr>
        <w:t xml:space="preserve">ACADEMIA FC + IA · Semana 2</w:t>
      </w:r>
    </w:p>
    <w:p>
      <w:pPr>
        <w:pStyle w:val="Title"/>
        <w:spacing w:after="40"/>
      </w:pPr>
      <w:r>
        <w:t xml:space="preserve">Ítem 2. Activos ocultos</w:t>
      </w:r>
    </w:p>
    <w:p>
      <w:pPr>
        <w:spacing w:after="40"/>
      </w:pPr>
      <w:r>
        <w:rPr>
          <w:i/>
          <w:iCs/>
          <w:color w:val="555555"/>
          <w:sz w:val="22"/>
          <w:szCs w:val="22"/>
        </w:rPr>
        <w:t xml:space="preserve">Lo que vale y la contabilidad no muestra: terreno y marca</w:t>
      </w:r>
    </w:p>
    <w:p>
      <w:pPr>
        <w:spacing w:after="160"/>
      </w:pPr>
      <w:r>
        <w:rPr>
          <w:b/>
          <w:bCs/>
          <w:color w:val="94741F"/>
          <w:sz w:val="18"/>
          <w:szCs w:val="18"/>
        </w:rPr>
        <w:t xml:space="preserve">Marco: Contabilidad de gestión · value-generation</w:t>
      </w:r>
    </w:p>
    <w:p>
      <w:pPr>
        <w:pStyle w:val="Heading2"/>
        <w:spacing w:after="100" w:before="220"/>
      </w:pPr>
      <w:r>
        <w:t xml:space="preserve">El valor que no figura en libros</w:t>
      </w:r>
    </w:p>
    <w:p>
      <w:pPr>
        <w:spacing w:after="140" w:line="276"/>
      </w:pPr>
      <w:r>
        <w:t xml:space="preserve">Un </w:t>
      </w:r>
      <w:r>
        <w:rPr>
          <w:b/>
          <w:bCs/>
        </w:rPr>
        <w:t xml:space="preserve">activo oculto</w:t>
      </w:r>
      <w:r>
        <w:t xml:space="preserve"> es un bien que </w:t>
      </w:r>
      <w:r>
        <w:rPr>
          <w:b/>
          <w:bCs/>
        </w:rPr>
        <w:t xml:space="preserve">vale más de lo que dice el balance</w:t>
      </w:r>
      <w:r>
        <w:t xml:space="preserve">, o que directamente </w:t>
      </w:r>
      <w:r>
        <w:rPr>
          <w:b/>
          <w:bCs/>
        </w:rPr>
        <w:t xml:space="preserve">no figura</w:t>
      </w:r>
      <w:r>
        <w:t xml:space="preserve">. Aparece por dos motivos: el </w:t>
      </w:r>
      <w:r>
        <w:rPr>
          <w:b/>
          <w:bCs/>
        </w:rPr>
        <w:t xml:space="preserve">costo histórico</w:t>
      </w:r>
      <w:r>
        <w:t xml:space="preserve"> (la norma valúa al precio de compra y no actualiza por inflación ni revalúo de mercado) y el </w:t>
      </w:r>
      <w:r>
        <w:rPr>
          <w:b/>
          <w:bCs/>
        </w:rPr>
        <w:t xml:space="preserve">principio de prudencia</w:t>
      </w:r>
      <w:r>
        <w:t xml:space="preserve"> (la contabilidad no reconoce activos generados internamente, como la marca, porque no hubo una transacción que les ponga precio).</w:t>
      </w:r>
    </w:p>
    <w:p>
      <w:pPr>
        <w:spacing w:after="140" w:line="276"/>
      </w:pPr>
      <w:r>
        <w:t xml:space="preserve">En </w:t>
      </w:r>
      <w:r>
        <w:rPr>
          <w:b/>
          <w:bCs/>
        </w:rPr>
        <w:t xml:space="preserve">Andina 2024</w:t>
      </w:r>
      <w:r>
        <w:t xml:space="preserve"> hay dos activos ocultos paradigmáticos. El </w:t>
      </w:r>
      <w:r>
        <w:rPr>
          <w:b/>
          <w:bCs/>
        </w:rPr>
        <w:t xml:space="preserve">terreno</w:t>
      </w:r>
      <w:r>
        <w:t xml:space="preserve"> figura a su costo histórico de </w:t>
      </w:r>
      <w:r>
        <w:rPr>
          <w:b/>
          <w:bCs/>
        </w:rPr>
        <w:t xml:space="preserve">350</w:t>
      </w:r>
      <w:r>
        <w:t xml:space="preserve"> pero a precio de mercado vale </w:t>
      </w:r>
      <w:r>
        <w:rPr>
          <w:b/>
          <w:bCs/>
        </w:rPr>
        <w:t xml:space="preserve">900</w:t>
      </w:r>
      <w:r>
        <w:t xml:space="preserve">: hay 550 de valor escondido por costo histórico. Y la </w:t>
      </w:r>
      <w:r>
        <w:rPr>
          <w:b/>
          <w:bCs/>
        </w:rPr>
        <w:t xml:space="preserve">marca y la cartera de clientes</w:t>
      </w:r>
      <w:r>
        <w:t xml:space="preserve"> figuran en </w:t>
      </w:r>
      <w:r>
        <w:rPr>
          <w:b/>
          <w:bCs/>
        </w:rPr>
        <w:t xml:space="preserve">0</w:t>
      </w:r>
      <w:r>
        <w:t xml:space="preserve"> —nunca se compraron, se construyeron a lo largo de 22 años— pero valen </w:t>
      </w:r>
      <w:r>
        <w:rPr>
          <w:b/>
          <w:bCs/>
        </w:rPr>
        <w:t xml:space="preserve">650</w:t>
      </w:r>
      <w:r>
        <w:t xml:space="preserve">: relación con clientes, reputación, recompra. Esos 1.200 de valor real no están en el PN contable.</w:t>
      </w:r>
    </w:p>
    <w:p>
      <w:pPr>
        <w:spacing w:after="140" w:line="276"/>
      </w:pPr>
      <w:r>
        <w:t xml:space="preserve">A esto se suma el </w:t>
      </w:r>
      <w:r>
        <w:rPr>
          <w:b/>
          <w:bCs/>
        </w:rPr>
        <w:t xml:space="preserve">edificio</w:t>
      </w:r>
      <w:r>
        <w:t xml:space="preserve">, que vale 780 contra un valor contable de 620 (+160). En total, Andina esconde unos 1.360 de activos: el balance de presentación dibuja una empresa más chica de lo que es. Un comprador que valuara solo por libros pagaría de menos; un dueño que vendiera "a valor contable" regalaría más de un tercio de su patrimonio.</w:t>
      </w:r>
    </w:p>
    <w:p>
      <w:pPr>
        <w:pStyle w:val="Heading2"/>
        <w:spacing w:after="100" w:before="220"/>
      </w:pPr>
      <w:r>
        <w:t xml:space="preserve">Intangibles: el activo más invisible y más valioso</w:t>
      </w:r>
    </w:p>
    <w:p>
      <w:pPr>
        <w:spacing w:after="140" w:line="276"/>
      </w:pPr>
      <w:r>
        <w:t xml:space="preserve">El caso de la </w:t>
      </w:r>
      <w:r>
        <w:rPr>
          <w:b/>
          <w:bCs/>
        </w:rPr>
        <w:t xml:space="preserve">marca</w:t>
      </w:r>
      <w:r>
        <w:t xml:space="preserve"> es el más instructivo. La contabilidad solo reconoce un intangible si se </w:t>
      </w:r>
      <w:r>
        <w:rPr>
          <w:b/>
          <w:bCs/>
        </w:rPr>
        <w:t xml:space="preserve">compró</w:t>
      </w:r>
      <w:r>
        <w:t xml:space="preserve"> (hay un comprobante, un precio). Una marca </w:t>
      </w:r>
      <w:r>
        <w:rPr>
          <w:b/>
          <w:bCs/>
        </w:rPr>
        <w:t xml:space="preserve">construida internamente</w:t>
      </w:r>
      <w:r>
        <w:t xml:space="preserve"> —que es la regla en las PyMEs familiares— vale por la lealtad de clientes, la recompra y la reputación, pero contablemente vale </w:t>
      </w:r>
      <w:r>
        <w:rPr>
          <w:b/>
          <w:bCs/>
        </w:rPr>
        <w:t xml:space="preserve">cero</w:t>
      </w:r>
      <w:r>
        <w:t xml:space="preserve">. Es el activo más invisible y, muchas veces, el más valioso.</w:t>
      </w:r>
    </w:p>
    <w:p>
      <w:pPr>
        <w:spacing w:after="140" w:line="276"/>
      </w:pPr>
      <w:r>
        <w:t xml:space="preserve">En la lógica del TSR Sintético, este intangible es parte del </w:t>
      </w:r>
      <w:r>
        <w:rPr>
          <w:b/>
          <w:bCs/>
        </w:rPr>
        <w:t xml:space="preserve">valor fundamental operativo</w:t>
      </w:r>
      <w:r>
        <w:t xml:space="preserve"> del negocio: es lo que sostiene los márgenes y la capacidad de poner precio. Cuando se valúa una empresa por DCF, ese valor de marca aparece </w:t>
      </w:r>
      <w:r>
        <w:rPr>
          <w:b/>
          <w:bCs/>
        </w:rPr>
        <w:t xml:space="preserve">implícito</w:t>
      </w:r>
      <w:r>
        <w:t xml:space="preserve"> en los flujos futuros, aunque no figure en ningún renglón del balance. Por eso el valor de mercado de una empresa sana casi siempre supera su PN contable: la diferencia es, en buena parte, intangible.</w:t>
      </w:r>
    </w:p>
    <w:p>
      <w:pPr>
        <w:spacing w:after="140" w:line="276"/>
      </w:pPr>
      <w:r>
        <w:t xml:space="preserve">Reconocer los activos ocultos cambia decisiones concretas: el terreno revaluado puede ser </w:t>
      </w:r>
      <w:r>
        <w:rPr>
          <w:b/>
          <w:bCs/>
        </w:rPr>
        <w:t xml:space="preserve">garantía</w:t>
      </w:r>
      <w:r>
        <w:t xml:space="preserve"> de un crédito más barato que reemplace el descubierto al 85%; la marca justifica defender precios y no competir solo por costo; y ambos elevan el </w:t>
      </w:r>
      <w:r>
        <w:rPr>
          <w:b/>
          <w:bCs/>
        </w:rPr>
        <w:t xml:space="preserve">piso de valuación</w:t>
      </w:r>
      <w:r>
        <w:t xml:space="preserve"> en una negociación de venta o de entrada de un socio. Lo que no se mide, no se defiende.</w:t>
      </w:r>
    </w:p>
    <w:p>
      <w:pPr>
        <w:pStyle w:val="Heading2"/>
        <w:spacing w:after="100" w:before="220"/>
      </w:pPr>
      <w:r>
        <w:t xml:space="preserve">El uso correcto y las trampas</w:t>
      </w:r>
    </w:p>
    <w:p>
      <w:pPr>
        <w:spacing w:after="140" w:line="276"/>
      </w:pPr>
      <w:r>
        <w:t xml:space="preserve">Revaluar activos ocultos exige </w:t>
      </w:r>
      <w:r>
        <w:rPr>
          <w:b/>
          <w:bCs/>
        </w:rPr>
        <w:t xml:space="preserve">rigor</w:t>
      </w:r>
      <w:r>
        <w:t xml:space="preserve">, no optimismo. El terreno debe tasarse con comparables reales de mercado, no con el deseo del dueño. La marca debe valuarse con métodos defendibles (regalías evitadas, exceso de utilidad, comparables de transacciones), no inventando un número. La diferencia entre revaluar con disciplina y "inflar para vender" es la diferencia entre información de gestión y maquillaje.</w:t>
      </w:r>
    </w:p>
    <w:p>
      <w:pPr>
        <w:spacing w:after="140" w:line="276"/>
      </w:pPr>
      <w:r>
        <w:t xml:space="preserve">Hay además una </w:t>
      </w:r>
      <w:r>
        <w:rPr>
          <w:b/>
          <w:bCs/>
        </w:rPr>
        <w:t xml:space="preserve">simetría obligatoria</w:t>
      </w:r>
      <w:r>
        <w:t xml:space="preserve">: si se reconocen los activos ocultos (que suben el PN), hay que reconocer también los </w:t>
      </w:r>
      <w:r>
        <w:rPr>
          <w:b/>
          <w:bCs/>
        </w:rPr>
        <w:t xml:space="preserve">sobrevaluados</w:t>
      </w:r>
      <w:r>
        <w:t xml:space="preserve"> (que lo bajan, ítem 3). Reconocer solo lo que conviene es hacer trampa con uno mismo. El ejercicio honesto de gestión ajusta en </w:t>
      </w:r>
      <w:r>
        <w:rPr>
          <w:b/>
          <w:bCs/>
        </w:rPr>
        <w:t xml:space="preserve">ambas direcciones</w:t>
      </w:r>
      <w:r>
        <w:t xml:space="preserve"> y llega a un PN económico defendible —en Andina, +1.360 de ocultos contra −1.040 de sobrevaluados, neto +320.</w:t>
      </w:r>
    </w:p>
    <w:p>
      <w:pPr>
        <w:spacing w:after="140" w:line="276"/>
      </w:pPr>
      <w:r>
        <w:t xml:space="preserve">La </w:t>
      </w:r>
      <w:r>
        <w:rPr>
          <w:b/>
          <w:bCs/>
        </w:rPr>
        <w:t xml:space="preserve">interrelación</w:t>
      </w:r>
      <w:r>
        <w:t xml:space="preserve"> es clara: los activos ocultos suben el PN económico (ítem 1), elevan el valor de garantía y el piso de venta, y conectan con la dolarización de la normalización (ítem 4) —en alta inflación, el valor de un terreno o una marca en dólares es mucho más estable que su costo histórico en moneda local. El activo oculto es, muchas veces, la reserva de valor real de la empresa familiar.</w:t>
      </w:r>
    </w:p>
    <w:p>
      <w:pPr>
        <w:pStyle w:val="Heading2"/>
        <w:spacing w:after="100" w:before="220"/>
      </w:pPr>
      <w:r>
        <w:t xml:space="preserve">El modelo: variables y fórmulas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Variable de entrada</w:t>
            </w:r>
          </w:p>
        </w:tc>
        <w:tc>
          <w:tcPr>
            <w:shd w:fill="0B1120" w:color="0B1120" w:val="solid"/>
          </w:tcPr>
          <w:p>
            <w:r>
              <w:rPr>
                <w:b/>
                <w:bCs/>
                <w:color w:val="FFFFFF"/>
                <w:sz w:val="18"/>
                <w:szCs w:val="18"/>
              </w:rPr>
              <w:t xml:space="preserve">Valor base</w:t>
            </w:r>
          </w:p>
        </w:tc>
      </w:tr>
      <w:tr>
        <w:tc>
          <w:p>
            <w:pPr>
              <w:jc w:val="left"/>
            </w:pPr>
            <w:r>
              <w:rPr>
                <w:sz w:val="18"/>
                <w:szCs w:val="18"/>
              </w:rPr>
              <w:t xml:space="preserve">Terreno (valor contable)</w:t>
            </w:r>
          </w:p>
        </w:tc>
        <w:tc>
          <w:p>
            <w:pPr>
              <w:jc w:val="right"/>
            </w:pPr>
            <w:r>
              <w:rPr>
                <w:sz w:val="18"/>
                <w:szCs w:val="18"/>
              </w:rPr>
              <w:t xml:space="preserve">350</w:t>
            </w:r>
          </w:p>
        </w:tc>
      </w:tr>
      <w:tr>
        <w:tc>
          <w:p>
            <w:pPr>
              <w:jc w:val="left"/>
            </w:pPr>
            <w:r>
              <w:rPr>
                <w:sz w:val="18"/>
                <w:szCs w:val="18"/>
              </w:rPr>
              <w:t xml:space="preserve">Terreno (valor de mercado)</w:t>
            </w:r>
          </w:p>
        </w:tc>
        <w:tc>
          <w:p>
            <w:pPr>
              <w:jc w:val="right"/>
            </w:pPr>
            <w:r>
              <w:rPr>
                <w:sz w:val="18"/>
                <w:szCs w:val="18"/>
              </w:rPr>
              <w:t xml:space="preserve">900</w:t>
            </w:r>
          </w:p>
        </w:tc>
      </w:tr>
      <w:tr>
        <w:tc>
          <w:p>
            <w:pPr>
              <w:jc w:val="left"/>
            </w:pPr>
            <w:r>
              <w:rPr>
                <w:sz w:val="18"/>
                <w:szCs w:val="18"/>
              </w:rPr>
              <w:t xml:space="preserve">Marca y cartera (valor real, book = 0)</w:t>
            </w:r>
          </w:p>
        </w:tc>
        <w:tc>
          <w:p>
            <w:pPr>
              <w:jc w:val="right"/>
            </w:pPr>
            <w:r>
              <w:rPr>
                <w:sz w:val="18"/>
                <w:szCs w:val="18"/>
              </w:rPr>
              <w:t xml:space="preserve">650</w:t>
            </w:r>
          </w:p>
        </w:tc>
      </w:tr>
      <w:tr>
        <w:tc>
          <w:p>
            <w:pPr>
              <w:jc w:val="left"/>
            </w:pPr>
            <w:r>
              <w:rPr>
                <w:sz w:val="18"/>
                <w:szCs w:val="18"/>
              </w:rPr>
              <w:t xml:space="preserve">Plus del edificio (real − book)</w:t>
            </w:r>
          </w:p>
        </w:tc>
        <w:tc>
          <w:p>
            <w:pPr>
              <w:jc w:val="right"/>
            </w:pPr>
            <w:r>
              <w:rPr>
                <w:sz w:val="18"/>
                <w:szCs w:val="18"/>
              </w:rPr>
              <w:t xml:space="preserve">160</w:t>
            </w:r>
          </w:p>
        </w:tc>
      </w:tr>
    </w:tbl>
    <w:p>
      <w:pPr>
        <w:spacing w:after="1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Indicador calculado</w:t>
            </w:r>
          </w:p>
        </w:tc>
        <w:tc>
          <w:tcPr>
            <w:shd w:fill="0B1120" w:color="0B1120" w:val="solid"/>
          </w:tcPr>
          <w:p>
            <w:r>
              <w:rPr>
                <w:b/>
                <w:bCs/>
                <w:color w:val="FFFFFF"/>
                <w:sz w:val="18"/>
                <w:szCs w:val="18"/>
              </w:rPr>
              <w:t xml:space="preserve">Fórmula</w:t>
            </w:r>
          </w:p>
        </w:tc>
      </w:tr>
      <w:tr>
        <w:tc>
          <w:p>
            <w:pPr>
              <w:jc w:val="left"/>
            </w:pPr>
            <w:r>
              <w:rPr>
                <w:sz w:val="18"/>
                <w:szCs w:val="18"/>
              </w:rPr>
              <w:t xml:space="preserve">Activo oculto del terreno</w:t>
            </w:r>
          </w:p>
        </w:tc>
        <w:tc>
          <w:p>
            <w:pPr>
              <w:jc w:val="right"/>
            </w:pPr>
            <w:r>
              <w:rPr>
                <w:sz w:val="18"/>
                <w:szCs w:val="18"/>
              </w:rPr>
              <w:t xml:space="preserve">terrenoReal-terrenoBook</w:t>
            </w:r>
          </w:p>
        </w:tc>
      </w:tr>
      <w:tr>
        <w:tc>
          <w:p>
            <w:pPr>
              <w:jc w:val="left"/>
            </w:pPr>
            <w:r>
              <w:rPr>
                <w:sz w:val="18"/>
                <w:szCs w:val="18"/>
              </w:rPr>
              <w:t xml:space="preserve">Activos ocultos totales</w:t>
            </w:r>
          </w:p>
        </w:tc>
        <w:tc>
          <w:p>
            <w:pPr>
              <w:jc w:val="right"/>
            </w:pPr>
            <w:r>
              <w:rPr>
                <w:sz w:val="18"/>
                <w:szCs w:val="18"/>
              </w:rPr>
              <w:t xml:space="preserve">gapTerreno+marcaReal+edificioGap</w:t>
            </w:r>
          </w:p>
        </w:tc>
      </w:tr>
      <w:tr>
        <w:tc>
          <w:p>
            <w:pPr>
              <w:jc w:val="left"/>
            </w:pPr>
            <w:r>
              <w:rPr>
                <w:sz w:val="18"/>
                <w:szCs w:val="18"/>
              </w:rPr>
              <w:t xml:space="preserve">Terreno: cuántas veces el book</w:t>
            </w:r>
          </w:p>
        </w:tc>
        <w:tc>
          <w:p>
            <w:pPr>
              <w:jc w:val="right"/>
            </w:pPr>
            <w:r>
              <w:rPr>
                <w:sz w:val="18"/>
                <w:szCs w:val="18"/>
              </w:rPr>
              <w:t xml:space="preserve">terrenoReal/terrenoBook</w:t>
            </w:r>
          </w:p>
        </w:tc>
      </w:tr>
    </w:tbl>
    <w:p>
      <w:pPr>
        <w:spacing w:before="160"/>
      </w:pPr>
      <w:r>
        <w:t xml:space="preserve">Abrí el </w:t>
      </w:r>
      <w:r>
        <w:rPr>
          <w:b/>
          <w:bCs/>
        </w:rPr>
        <w:t xml:space="preserve">modelo interactivo</w:t>
      </w:r>
      <w:r>
        <w:t xml:space="preserve"> de este ítem en la plataforma para mover las variables en vivo, y usá el Excel para construir tu propio caso con matrices dinámicas.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36"/>
      <w:szCs w:val="36"/>
    </w:rPr>
  </w:style>
  <w:style w:type="paragraph" w:styleId="Heading2">
    <w:name w:val="Heading 2"/>
    <w:pPr>
      <w:spacing w:after="100" w:before="200"/>
    </w:pPr>
    <w:rPr>
      <w:b/>
      <w:bCs/>
      <w:color w:val="947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2026-06-24T11:50:52.070Z</dcterms:created>
  <dcterms:modified xsi:type="dcterms:W3CDTF">2026-06-24T11:50:52.070Z</dcterms:modified>
</cp:coreProperties>
</file>

<file path=docProps/custom.xml><?xml version="1.0" encoding="utf-8"?>
<Properties xmlns="http://schemas.openxmlformats.org/officeDocument/2006/custom-properties" xmlns:vt="http://schemas.openxmlformats.org/officeDocument/2006/docPropsVTypes"/>
</file>