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D4AF37"/>
          <w:sz w:val="18"/>
          <w:szCs w:val="18"/>
        </w:rPr>
        <w:t xml:space="preserve">ACADEMIA FC + IA · Semana 2</w:t>
      </w:r>
    </w:p>
    <w:p>
      <w:pPr>
        <w:pStyle w:val="Title"/>
        <w:spacing w:after="40"/>
      </w:pPr>
      <w:r>
        <w:t xml:space="preserve">Ítem 3. Activos sobrevaluados</w:t>
      </w:r>
    </w:p>
    <w:p>
      <w:pPr>
        <w:spacing w:after="40"/>
      </w:pPr>
      <w:r>
        <w:rPr>
          <w:i/>
          <w:iCs/>
          <w:color w:val="555555"/>
          <w:sz w:val="22"/>
          <w:szCs w:val="22"/>
        </w:rPr>
        <w:t xml:space="preserve">El valor ficticio: incobrables y stock obsoleto</w:t>
      </w:r>
    </w:p>
    <w:p>
      <w:pPr>
        <w:spacing w:after="160"/>
      </w:pPr>
      <w:r>
        <w:rPr>
          <w:b/>
          <w:bCs/>
          <w:color w:val="94741F"/>
          <w:sz w:val="18"/>
          <w:szCs w:val="18"/>
        </w:rPr>
        <w:t xml:space="preserve">Marco: Contabilidad de gestión · value-generation</w:t>
      </w:r>
    </w:p>
    <w:p>
      <w:pPr>
        <w:pStyle w:val="Heading2"/>
        <w:spacing w:after="100" w:before="220"/>
      </w:pPr>
      <w:r>
        <w:t xml:space="preserve">El otro lado del ajuste: lo que vale menos</w:t>
      </w:r>
    </w:p>
    <w:p>
      <w:pPr>
        <w:spacing w:after="140" w:line="276"/>
      </w:pPr>
      <w:r>
        <w:t xml:space="preserve">Si los activos ocultos esconden valor real, los </w:t>
      </w:r>
      <w:r>
        <w:rPr>
          <w:b/>
          <w:bCs/>
        </w:rPr>
        <w:t xml:space="preserve">activos sobrevaluados</w:t>
      </w:r>
      <w:r>
        <w:t xml:space="preserve"> esconden </w:t>
      </w:r>
      <w:r>
        <w:rPr>
          <w:b/>
          <w:bCs/>
        </w:rPr>
        <w:t xml:space="preserve">valor ficticio</w:t>
      </w:r>
      <w:r>
        <w:t xml:space="preserve">: figuran en el balance por más de lo que valen. Es el ajuste que el dueño optimista no quiere hacer, pero el gerente honesto </w:t>
      </w:r>
      <w:r>
        <w:rPr>
          <w:b/>
          <w:bCs/>
        </w:rPr>
        <w:t xml:space="preserve">debe</w:t>
      </w:r>
      <w:r>
        <w:t xml:space="preserve"> hacer. Un balance con activos sobrevaluados muestra un patrimonio que en parte </w:t>
      </w:r>
      <w:r>
        <w:rPr>
          <w:b/>
          <w:bCs/>
        </w:rPr>
        <w:t xml:space="preserve">no existe</w:t>
      </w:r>
      <w:r>
        <w:t xml:space="preserve">.</w:t>
      </w:r>
    </w:p>
    <w:p>
      <w:pPr>
        <w:spacing w:after="140" w:line="276"/>
      </w:pPr>
      <w:r>
        <w:t xml:space="preserve">En </w:t>
      </w:r>
      <w:r>
        <w:rPr>
          <w:b/>
          <w:bCs/>
        </w:rPr>
        <w:t xml:space="preserve">Andina 2024</w:t>
      </w:r>
      <w:r>
        <w:t xml:space="preserve"> hay dos casos de manual. Las </w:t>
      </w:r>
      <w:r>
        <w:rPr>
          <w:b/>
          <w:bCs/>
        </w:rPr>
        <w:t xml:space="preserve">cuentas por cobrar</w:t>
      </w:r>
      <w:r>
        <w:t xml:space="preserve"> figuran en </w:t>
      </w:r>
      <w:r>
        <w:rPr>
          <w:b/>
          <w:bCs/>
        </w:rPr>
        <w:t xml:space="preserve">1.850</w:t>
      </w:r>
      <w:r>
        <w:t xml:space="preserve"> pero incluyen </w:t>
      </w:r>
      <w:r>
        <w:rPr>
          <w:b/>
          <w:bCs/>
        </w:rPr>
        <w:t xml:space="preserve">290 de mora de más de 120 días</w:t>
      </w:r>
      <w:r>
        <w:t xml:space="preserve"> con baja probabilidad de cobro: el valor real es </w:t>
      </w:r>
      <w:r>
        <w:rPr>
          <w:b/>
          <w:bCs/>
        </w:rPr>
        <w:t xml:space="preserve">1.560</w:t>
      </w:r>
      <w:r>
        <w:t xml:space="preserve">. Y el </w:t>
      </w:r>
      <w:r>
        <w:rPr>
          <w:b/>
          <w:bCs/>
        </w:rPr>
        <w:t xml:space="preserve">inventario</w:t>
      </w:r>
      <w:r>
        <w:t xml:space="preserve"> figura en </w:t>
      </w:r>
      <w:r>
        <w:rPr>
          <w:b/>
          <w:bCs/>
        </w:rPr>
        <w:t xml:space="preserve">2.400</w:t>
      </w:r>
      <w:r>
        <w:t xml:space="preserve"> pero contiene </w:t>
      </w:r>
      <w:r>
        <w:rPr>
          <w:b/>
          <w:bCs/>
        </w:rPr>
        <w:t xml:space="preserve">420 de mercadería obsoleta o de lenta rotación</w:t>
      </w:r>
      <w:r>
        <w:t xml:space="preserve"> valuada a costo histórico que a mercado vale menos: el valor real es </w:t>
      </w:r>
      <w:r>
        <w:rPr>
          <w:b/>
          <w:bCs/>
        </w:rPr>
        <w:t xml:space="preserve">1.980</w:t>
      </w:r>
      <w:r>
        <w:t xml:space="preserve">.</w:t>
      </w:r>
    </w:p>
    <w:p>
      <w:pPr>
        <w:spacing w:after="140" w:line="276"/>
      </w:pPr>
      <w:r>
        <w:t xml:space="preserve">A estos se suman la </w:t>
      </w:r>
      <w:r>
        <w:rPr>
          <w:b/>
          <w:bCs/>
        </w:rPr>
        <w:t xml:space="preserve">maquinaria</w:t>
      </w:r>
      <w:r>
        <w:t xml:space="preserve"> tecnológicamente obsoleta (real 1.150 vs. book 1.450, −300) y los </w:t>
      </w:r>
      <w:r>
        <w:rPr>
          <w:b/>
          <w:bCs/>
        </w:rPr>
        <w:t xml:space="preserve">rodados</w:t>
      </w:r>
      <w:r>
        <w:t xml:space="preserve"> (real 110 vs. book 140, −30). En total, Andina sobrevalúa unos </w:t>
      </w:r>
      <w:r>
        <w:rPr>
          <w:b/>
          <w:bCs/>
        </w:rPr>
        <w:t xml:space="preserve">1.040</w:t>
      </w:r>
      <w:r>
        <w:t xml:space="preserve"> de activos. Ese monto es patrimonio fantasma: aparece en el PN contable pero se evapora apenas se intenta cobrar la cartera vieja o vender el stock muerto.</w:t>
      </w:r>
    </w:p>
    <w:p>
      <w:pPr>
        <w:pStyle w:val="Heading2"/>
        <w:spacing w:after="100" w:before="220"/>
      </w:pPr>
      <w:r>
        <w:t xml:space="preserve">Incobrables y stock muerto: dos formas de mentirse</w:t>
      </w:r>
    </w:p>
    <w:p>
      <w:pPr>
        <w:spacing w:after="140" w:line="276"/>
      </w:pPr>
      <w:r>
        <w:t xml:space="preserve">Los </w:t>
      </w:r>
      <w:r>
        <w:rPr>
          <w:b/>
          <w:bCs/>
        </w:rPr>
        <w:t xml:space="preserve">290 de incobrables</w:t>
      </w:r>
      <w:r>
        <w:t xml:space="preserve"> son el residuo de una </w:t>
      </w:r>
      <w:r>
        <w:rPr>
          <w:b/>
          <w:bCs/>
        </w:rPr>
        <w:t xml:space="preserve">cobranza mal gestionada</w:t>
      </w:r>
      <w:r>
        <w:t xml:space="preserve">. En la matriz de cobranzas (aging vs. reclamo), son la "zona crítica": cuentas muy vencidas (+120 días) y probablemente poco reclamadas, que requieren previsión y, en muchos casos, acción legal. Contarlas a valor nominal es contarse a uno mismo un cuento: esa plata, con alta probabilidad, no entra. La </w:t>
      </w:r>
      <w:r>
        <w:rPr>
          <w:b/>
          <w:bCs/>
        </w:rPr>
        <w:t xml:space="preserve">previsión por incobrables</w:t>
      </w:r>
      <w:r>
        <w:t xml:space="preserve"> existe justamente para reflejar esto.</w:t>
      </w:r>
    </w:p>
    <w:p>
      <w:pPr>
        <w:spacing w:after="140" w:line="276"/>
      </w:pPr>
      <w:r>
        <w:t xml:space="preserve">Los </w:t>
      </w:r>
      <w:r>
        <w:rPr>
          <w:b/>
          <w:bCs/>
        </w:rPr>
        <w:t xml:space="preserve">420 de inventario obsoleto</w:t>
      </w:r>
      <w:r>
        <w:t xml:space="preserve"> son capital muerto en celdas tipo CZ/AZ de la matriz ABC/XYZ: stock que no rota, valuado a costo histórico, que a precio de liquidación vale bastante menos. Mantenerlo a costo infla el activo, baja artificialmente el CCE aparente y distorsiona el GMROI. La gestión correcta lo previsiona, lo liquida y libera el espacio y el capital.</w:t>
      </w:r>
    </w:p>
    <w:p>
      <w:pPr>
        <w:spacing w:after="140" w:line="276"/>
      </w:pPr>
      <w:r>
        <w:t xml:space="preserve">Ambos casos comparten una raíz: la contabilidad de </w:t>
      </w:r>
      <w:r>
        <w:rPr>
          <w:b/>
          <w:bCs/>
        </w:rPr>
        <w:t xml:space="preserve">presentación</w:t>
      </w:r>
      <w:r>
        <w:t xml:space="preserve"> los mantiene a valor histórico porque no hubo todavía una pérdida "realizada". La de </w:t>
      </w:r>
      <w:r>
        <w:rPr>
          <w:b/>
          <w:bCs/>
        </w:rPr>
        <w:t xml:space="preserve">gestión</w:t>
      </w:r>
      <w:r>
        <w:t xml:space="preserve"> los corrige </w:t>
      </w:r>
      <w:r>
        <w:rPr>
          <w:b/>
          <w:bCs/>
        </w:rPr>
        <w:t xml:space="preserve">antes</w:t>
      </w:r>
      <w:r>
        <w:t xml:space="preserve">, porque para decidir hay que saber qué vale de verdad. Reconocer la pérdida temprano duele, pero permite actuar; ignorarla solo posterga —y agranda— el golpe.</w:t>
      </w:r>
    </w:p>
    <w:p>
      <w:pPr>
        <w:pStyle w:val="Heading2"/>
        <w:spacing w:after="100" w:before="220"/>
      </w:pPr>
      <w:r>
        <w:t xml:space="preserve">El impacto en el resultado y la cadena de valor</w:t>
      </w:r>
    </w:p>
    <w:p>
      <w:pPr>
        <w:spacing w:after="140" w:line="276"/>
      </w:pPr>
      <w:r>
        <w:t xml:space="preserve">Sincerar los activos sobrevaluados no solo baja el PN: también </w:t>
      </w:r>
      <w:r>
        <w:rPr>
          <w:b/>
          <w:bCs/>
        </w:rPr>
        <w:t xml:space="preserve">impacta el resultado</w:t>
      </w:r>
      <w:r>
        <w:t xml:space="preserve">. Previsionar 290 de incobrables y desvalorizar 420 de stock son cargos contra la utilidad. El resultado neto de 175 que mostraba Andina podría </w:t>
      </w:r>
      <w:r>
        <w:rPr>
          <w:b/>
          <w:bCs/>
        </w:rPr>
        <w:t xml:space="preserve">desaparecer o volverse negativo</w:t>
      </w:r>
      <w:r>
        <w:t xml:space="preserve"> si se reconocieran de golpe estas pérdidas latentes. Es decir: la ganancia de presentación es aún más frágil de lo que parecía en la Semana 1.</w:t>
      </w:r>
    </w:p>
    <w:p>
      <w:pPr>
        <w:spacing w:after="140" w:line="276"/>
      </w:pPr>
      <w:r>
        <w:t xml:space="preserve">La </w:t>
      </w:r>
      <w:r>
        <w:rPr>
          <w:b/>
          <w:bCs/>
        </w:rPr>
        <w:t xml:space="preserve">interrelación</w:t>
      </w:r>
      <w:r>
        <w:t xml:space="preserve"> con la creación de valor es de doble filo virtuoso. Atacar los incobrables (matriz de cobranzas) baja el </w:t>
      </w:r>
      <w:r>
        <w:rPr>
          <w:b/>
          <w:bCs/>
        </w:rPr>
        <w:t xml:space="preserve">DSO</w:t>
      </w:r>
      <w:r>
        <w:t xml:space="preserve">, reduce el CCE y, al cobrar mejor, baja también la </w:t>
      </w:r>
      <w:r>
        <w:rPr>
          <w:b/>
          <w:bCs/>
        </w:rPr>
        <w:t xml:space="preserve">previsión</w:t>
      </w:r>
      <w:r>
        <w:t xml:space="preserve"> futura —sube el NOPAT. Atacar el inventario obsoleto (matriz ABC/XYZ) baja el </w:t>
      </w:r>
      <w:r>
        <w:rPr>
          <w:b/>
          <w:bCs/>
        </w:rPr>
        <w:t xml:space="preserve">DIO</w:t>
      </w:r>
      <w:r>
        <w:t xml:space="preserve">, sube el </w:t>
      </w:r>
      <w:r>
        <w:rPr>
          <w:b/>
          <w:bCs/>
        </w:rPr>
        <w:t xml:space="preserve">GMROI</w:t>
      </w:r>
      <w:r>
        <w:t xml:space="preserve"> y libera capital de trabajo. Ambos reducen el Capital Invertido </w:t>
      </w:r>
      <w:r>
        <w:rPr>
          <w:b/>
          <w:bCs/>
        </w:rPr>
        <w:t xml:space="preserve">y</w:t>
      </w:r>
      <w:r>
        <w:t xml:space="preserve"> mejoran el numerador: el ROIC sube por las dos puntas.</w:t>
      </w:r>
    </w:p>
    <w:p>
      <w:pPr>
        <w:spacing w:after="140" w:line="276"/>
      </w:pPr>
      <w:r>
        <w:t xml:space="preserve">La regla de oro de la Semana 2 es la </w:t>
      </w:r>
      <w:r>
        <w:rPr>
          <w:b/>
          <w:bCs/>
        </w:rPr>
        <w:t xml:space="preserve">simetría</w:t>
      </w:r>
      <w:r>
        <w:t xml:space="preserve">: el ajuste honesto reconoce ocultos </w:t>
      </w:r>
      <w:r>
        <w:rPr>
          <w:b/>
          <w:bCs/>
        </w:rPr>
        <w:t xml:space="preserve">y</w:t>
      </w:r>
      <w:r>
        <w:t xml:space="preserve"> sobrevaluados. En Andina, +1.360 de ocultos contra −1.040 de sobrevaluados dan un neto positivo de +320; el patrimonio económico sigue por encima del contable, pero la rentabilidad corriente es mucho más débil de lo que el resultado neto sugiere. Esa es la lectura completa que ninguna de las dos contabilidades da por separado.</w:t>
      </w:r>
    </w:p>
    <w:p>
      <w:pPr>
        <w:pStyle w:val="Heading2"/>
        <w:spacing w:after="100" w:before="220"/>
      </w:pPr>
      <w:r>
        <w:t xml:space="preserve">El modelo: variables y fórmulas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0B1120" w:color="0B1120" w:val="solid"/>
          </w:tcPr>
          <w:p>
            <w:r>
              <w:rPr>
                <w:b/>
                <w:bCs/>
                <w:color w:val="FFFFFF"/>
                <w:sz w:val="18"/>
                <w:szCs w:val="18"/>
              </w:rPr>
              <w:t xml:space="preserve">Variable de entrada</w:t>
            </w:r>
          </w:p>
        </w:tc>
        <w:tc>
          <w:tcPr>
            <w:shd w:fill="0B1120" w:color="0B1120" w:val="solid"/>
          </w:tcPr>
          <w:p>
            <w:r>
              <w:rPr>
                <w:b/>
                <w:bCs/>
                <w:color w:val="FFFFFF"/>
                <w:sz w:val="18"/>
                <w:szCs w:val="18"/>
              </w:rPr>
              <w:t xml:space="preserve">Valor base</w:t>
            </w:r>
          </w:p>
        </w:tc>
      </w:tr>
      <w:tr>
        <w:tc>
          <w:p>
            <w:pPr>
              <w:jc w:val="left"/>
            </w:pPr>
            <w:r>
              <w:rPr>
                <w:sz w:val="18"/>
                <w:szCs w:val="18"/>
              </w:rPr>
              <w:t xml:space="preserve">Cuentas por cobrar (libros)</w:t>
            </w:r>
          </w:p>
        </w:tc>
        <w:tc>
          <w:p>
            <w:pPr>
              <w:jc w:val="right"/>
            </w:pPr>
            <w:r>
              <w:rPr>
                <w:sz w:val="18"/>
                <w:szCs w:val="18"/>
              </w:rPr>
              <w:t xml:space="preserve">1850</w:t>
            </w:r>
          </w:p>
        </w:tc>
      </w:tr>
      <w:tr>
        <w:tc>
          <w:p>
            <w:pPr>
              <w:jc w:val="left"/>
            </w:pPr>
            <w:r>
              <w:rPr>
                <w:sz w:val="18"/>
                <w:szCs w:val="18"/>
              </w:rPr>
              <w:t xml:space="preserve">Incobrables (mora +120 días)</w:t>
            </w:r>
          </w:p>
        </w:tc>
        <w:tc>
          <w:p>
            <w:pPr>
              <w:jc w:val="right"/>
            </w:pPr>
            <w:r>
              <w:rPr>
                <w:sz w:val="18"/>
                <w:szCs w:val="18"/>
              </w:rPr>
              <w:t xml:space="preserve">290</w:t>
            </w:r>
          </w:p>
        </w:tc>
      </w:tr>
      <w:tr>
        <w:tc>
          <w:p>
            <w:pPr>
              <w:jc w:val="left"/>
            </w:pPr>
            <w:r>
              <w:rPr>
                <w:sz w:val="18"/>
                <w:szCs w:val="18"/>
              </w:rPr>
              <w:t xml:space="preserve">Inventarios (libros)</w:t>
            </w:r>
          </w:p>
        </w:tc>
        <w:tc>
          <w:p>
            <w:pPr>
              <w:jc w:val="right"/>
            </w:pPr>
            <w:r>
              <w:rPr>
                <w:sz w:val="18"/>
                <w:szCs w:val="18"/>
              </w:rPr>
              <w:t xml:space="preserve">2400</w:t>
            </w:r>
          </w:p>
        </w:tc>
      </w:tr>
      <w:tr>
        <w:tc>
          <w:p>
            <w:pPr>
              <w:jc w:val="left"/>
            </w:pPr>
            <w:r>
              <w:rPr>
                <w:sz w:val="18"/>
                <w:szCs w:val="18"/>
              </w:rPr>
              <w:t xml:space="preserve">Inventario obsoleto / lenta rotación</w:t>
            </w:r>
          </w:p>
        </w:tc>
        <w:tc>
          <w:p>
            <w:pPr>
              <w:jc w:val="right"/>
            </w:pPr>
            <w:r>
              <w:rPr>
                <w:sz w:val="18"/>
                <w:szCs w:val="18"/>
              </w:rPr>
              <w:t xml:space="preserve">420</w:t>
            </w:r>
          </w:p>
        </w:tc>
      </w:tr>
      <w:tr>
        <w:tc>
          <w:p>
            <w:pPr>
              <w:jc w:val="left"/>
            </w:pPr>
            <w:r>
              <w:rPr>
                <w:sz w:val="18"/>
                <w:szCs w:val="18"/>
              </w:rPr>
              <w:t xml:space="preserve">Otros sobrevaluados (maquinaria, rodados)</w:t>
            </w:r>
          </w:p>
        </w:tc>
        <w:tc>
          <w:p>
            <w:pPr>
              <w:jc w:val="right"/>
            </w:pPr>
            <w:r>
              <w:rPr>
                <w:sz w:val="18"/>
                <w:szCs w:val="18"/>
              </w:rPr>
              <w:t xml:space="preserve">330</w:t>
            </w:r>
          </w:p>
        </w:tc>
      </w:tr>
    </w:tbl>
    <w:p>
      <w:pPr>
        <w:spacing w:after="100"/>
      </w:pP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0B1120" w:color="0B1120" w:val="solid"/>
          </w:tcPr>
          <w:p>
            <w:r>
              <w:rPr>
                <w:b/>
                <w:bCs/>
                <w:color w:val="FFFFFF"/>
                <w:sz w:val="18"/>
                <w:szCs w:val="18"/>
              </w:rPr>
              <w:t xml:space="preserve">Indicador calculado</w:t>
            </w:r>
          </w:p>
        </w:tc>
        <w:tc>
          <w:tcPr>
            <w:shd w:fill="0B1120" w:color="0B1120" w:val="solid"/>
          </w:tcPr>
          <w:p>
            <w:r>
              <w:rPr>
                <w:b/>
                <w:bCs/>
                <w:color w:val="FFFFFF"/>
                <w:sz w:val="18"/>
                <w:szCs w:val="18"/>
              </w:rPr>
              <w:t xml:space="preserve">Fórmula</w:t>
            </w:r>
          </w:p>
        </w:tc>
      </w:tr>
      <w:tr>
        <w:tc>
          <w:p>
            <w:pPr>
              <w:jc w:val="left"/>
            </w:pPr>
            <w:r>
              <w:rPr>
                <w:sz w:val="18"/>
                <w:szCs w:val="18"/>
              </w:rPr>
              <w:t xml:space="preserve">Cuentas por cobrar reales</w:t>
            </w:r>
          </w:p>
        </w:tc>
        <w:tc>
          <w:p>
            <w:pPr>
              <w:jc w:val="right"/>
            </w:pPr>
            <w:r>
              <w:rPr>
                <w:sz w:val="18"/>
                <w:szCs w:val="18"/>
              </w:rPr>
              <w:t xml:space="preserve">cxcBook-incobrables</w:t>
            </w:r>
          </w:p>
        </w:tc>
      </w:tr>
      <w:tr>
        <w:tc>
          <w:p>
            <w:pPr>
              <w:jc w:val="left"/>
            </w:pPr>
            <w:r>
              <w:rPr>
                <w:sz w:val="18"/>
                <w:szCs w:val="18"/>
              </w:rPr>
              <w:t xml:space="preserve">Inventario real</w:t>
            </w:r>
          </w:p>
        </w:tc>
        <w:tc>
          <w:p>
            <w:pPr>
              <w:jc w:val="right"/>
            </w:pPr>
            <w:r>
              <w:rPr>
                <w:sz w:val="18"/>
                <w:szCs w:val="18"/>
              </w:rPr>
              <w:t xml:space="preserve">invBook-obsoleto</w:t>
            </w:r>
          </w:p>
        </w:tc>
      </w:tr>
      <w:tr>
        <w:tc>
          <w:p>
            <w:pPr>
              <w:jc w:val="left"/>
            </w:pPr>
            <w:r>
              <w:rPr>
                <w:sz w:val="18"/>
                <w:szCs w:val="18"/>
              </w:rPr>
              <w:t xml:space="preserve">Activos sobrevaluados totales</w:t>
            </w:r>
          </w:p>
        </w:tc>
        <w:tc>
          <w:p>
            <w:pPr>
              <w:jc w:val="right"/>
            </w:pPr>
            <w:r>
              <w:rPr>
                <w:sz w:val="18"/>
                <w:szCs w:val="18"/>
              </w:rPr>
              <w:t xml:space="preserve">incobrables+obsoleto+otrosSobre</w:t>
            </w:r>
          </w:p>
        </w:tc>
      </w:tr>
      <w:tr>
        <w:tc>
          <w:p>
            <w:pPr>
              <w:jc w:val="left"/>
            </w:pPr>
            <w:r>
              <w:rPr>
                <w:sz w:val="18"/>
                <w:szCs w:val="18"/>
              </w:rPr>
              <w:t xml:space="preserve">Impacto en resultado (incob. + obsoleto)</w:t>
            </w:r>
          </w:p>
        </w:tc>
        <w:tc>
          <w:p>
            <w:pPr>
              <w:jc w:val="right"/>
            </w:pPr>
            <w:r>
              <w:rPr>
                <w:sz w:val="18"/>
                <w:szCs w:val="18"/>
              </w:rPr>
              <w:t xml:space="preserve">incobrables+obsoleto</w:t>
            </w:r>
          </w:p>
        </w:tc>
      </w:tr>
    </w:tbl>
    <w:p>
      <w:pPr>
        <w:spacing w:before="160"/>
      </w:pPr>
      <w:r>
        <w:t xml:space="preserve">Abrí el </w:t>
      </w:r>
      <w:r>
        <w:rPr>
          <w:b/>
          <w:bCs/>
        </w:rPr>
        <w:t xml:space="preserve">modelo interactivo</w:t>
      </w:r>
      <w:r>
        <w:t xml:space="preserve"> de este ítem en la plataforma para mover las variables en vivo, y usá el Excel para construir tu propio caso con matrices dinámicas.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rPr>
      <w:b/>
      <w:bCs/>
      <w:color w:val="0B1120"/>
      <w:sz w:val="36"/>
      <w:szCs w:val="36"/>
    </w:rPr>
  </w:style>
  <w:style w:type="paragraph" w:styleId="Heading2">
    <w:name w:val="Heading 2"/>
    <w:pPr>
      <w:spacing w:after="100" w:before="200"/>
    </w:pPr>
    <w:rPr>
      <w:b/>
      <w:bCs/>
      <w:color w:val="9474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2026-06-24T11:50:52.087Z</dcterms:created>
  <dcterms:modified xsi:type="dcterms:W3CDTF">2026-06-24T11:50:52.087Z</dcterms:modified>
</cp:coreProperties>
</file>

<file path=docProps/custom.xml><?xml version="1.0" encoding="utf-8"?>
<Properties xmlns="http://schemas.openxmlformats.org/officeDocument/2006/custom-properties" xmlns:vt="http://schemas.openxmlformats.org/officeDocument/2006/docPropsVTypes"/>
</file>