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2</w:t>
      </w:r>
    </w:p>
    <w:p>
      <w:pPr>
        <w:pStyle w:val="Title"/>
        <w:spacing w:after="40"/>
      </w:pPr>
      <w:r>
        <w:t xml:space="preserve">Ítem 4. Normalización de la empresa familiar</w:t>
      </w:r>
    </w:p>
    <w:p>
      <w:pPr>
        <w:spacing w:after="40"/>
      </w:pPr>
      <w:r>
        <w:rPr>
          <w:i/>
          <w:iCs/>
          <w:color w:val="555555"/>
          <w:sz w:val="22"/>
          <w:szCs w:val="22"/>
        </w:rPr>
        <w:t xml:space="preserve">Gastos del dueño, sueldos de mercado y dolarización</w:t>
      </w:r>
    </w:p>
    <w:p>
      <w:pPr>
        <w:spacing w:after="160"/>
      </w:pPr>
      <w:r>
        <w:rPr>
          <w:b/>
          <w:bCs/>
          <w:color w:val="94741F"/>
          <w:sz w:val="18"/>
          <w:szCs w:val="18"/>
        </w:rPr>
        <w:t xml:space="preserve">Marco: synthetic-tsr · Normalización (Pereiro / BCG)</w:t>
      </w:r>
    </w:p>
    <w:p>
      <w:pPr>
        <w:pStyle w:val="Heading2"/>
        <w:spacing w:after="100" w:before="220"/>
      </w:pPr>
      <w:r>
        <w:t xml:space="preserve">Por qué el balance familiar miente sobre la rentabilidad</w:t>
      </w:r>
    </w:p>
    <w:p>
      <w:pPr>
        <w:spacing w:after="140" w:line="276"/>
      </w:pPr>
      <w:r>
        <w:t xml:space="preserve">En la PyME familiar, los estados contables están </w:t>
      </w:r>
      <w:r>
        <w:rPr>
          <w:b/>
          <w:bCs/>
        </w:rPr>
        <w:t xml:space="preserve">contaminados</w:t>
      </w:r>
      <w:r>
        <w:t xml:space="preserve"> por la mezcla entre la persona y la empresa. El dueño pasa </w:t>
      </w:r>
      <w:r>
        <w:rPr>
          <w:b/>
          <w:bCs/>
        </w:rPr>
        <w:t xml:space="preserve">gastos personales</w:t>
      </w:r>
      <w:r>
        <w:t xml:space="preserve"> por la firma (auto, viajes, consumos), a veces </w:t>
      </w:r>
      <w:r>
        <w:rPr>
          <w:b/>
          <w:bCs/>
        </w:rPr>
        <w:t xml:space="preserve">no se asigna un sueldo de mercado</w:t>
      </w:r>
      <w:r>
        <w:t xml:space="preserve"> por el rol que cumple, y la inflación local distorsiona toda comparación temporal. Antes de valuar o de medir la rentabilidad real, hay que </w:t>
      </w:r>
      <w:r>
        <w:rPr>
          <w:b/>
          <w:bCs/>
        </w:rPr>
        <w:t xml:space="preserve">normalizar</w:t>
      </w:r>
      <w:r>
        <w:t xml:space="preserve">: limpiar el Estado de Resultados de esas distorsiones para ver el negocio "puro".</w:t>
      </w:r>
    </w:p>
    <w:p>
      <w:pPr>
        <w:spacing w:after="140" w:line="276"/>
      </w:pPr>
      <w:r>
        <w:t xml:space="preserve">La normalización es un paso </w:t>
      </w:r>
      <w:r>
        <w:rPr>
          <w:b/>
          <w:bCs/>
        </w:rPr>
        <w:t xml:space="preserve">obligatorio</w:t>
      </w:r>
      <w:r>
        <w:t xml:space="preserve"> del TSR Sintético y de cualquier valuación seria de capital cerrado. Su objetivo es responder: ¿cuánto ganaría este negocio en manos de un dueño profesional, pagando sueldos de mercado y sin gastos personales encima? Ese es el EBITDA / resultado </w:t>
      </w:r>
      <w:r>
        <w:rPr>
          <w:b/>
          <w:bCs/>
        </w:rPr>
        <w:t xml:space="preserve">normalizado</w:t>
      </w:r>
      <w:r>
        <w:t xml:space="preserve">, la base honesta sobre la que se descuentan flujos y se mide el spread ROIC − WACC.</w:t>
      </w:r>
    </w:p>
    <w:p>
      <w:pPr>
        <w:spacing w:after="140" w:line="276"/>
      </w:pPr>
      <w:r>
        <w:t xml:space="preserve">En el marco de Pereiro y BCG, normalizar distingue al </w:t>
      </w:r>
      <w:r>
        <w:rPr>
          <w:b/>
          <w:bCs/>
        </w:rPr>
        <w:t xml:space="preserve">ERI</w:t>
      </w:r>
      <w:r>
        <w:t xml:space="preserve"> (inversor de riesgo económico: el fundador, que concentra toda su riqueza y mezcla su economía con la de la empresa) del negocio en sí. La empresa que se valúa no es "la del dueño con sus costumbres", sino el activo económico subyacente, ajustado a condiciones de mercado.</w:t>
      </w:r>
    </w:p>
    <w:p>
      <w:pPr>
        <w:pStyle w:val="Heading2"/>
        <w:spacing w:after="100" w:before="220"/>
      </w:pPr>
      <w:r>
        <w:t xml:space="preserve">Los tres ajustes de normalización</w:t>
      </w:r>
    </w:p>
    <w:p>
      <w:pPr>
        <w:spacing w:after="140" w:line="276"/>
      </w:pPr>
      <w:r>
        <w:rPr>
          <w:b/>
          <w:bCs/>
        </w:rPr>
        <w:t xml:space="preserve">(1) Gastos personales del dueño.</w:t>
      </w:r>
      <w:r>
        <w:t xml:space="preserve"> Se </w:t>
      </w:r>
      <w:r>
        <w:rPr>
          <w:b/>
          <w:bCs/>
        </w:rPr>
        <w:t xml:space="preserve">suman de vuelta</w:t>
      </w:r>
      <w:r>
        <w:t xml:space="preserve"> al resultado los consumos personales pasados por la empresa que no corresponden a la operación. Si Andina cargó, digamos, gastos del dueño que no son del negocio, ese monto debe sumarse al EBITDA: no es un costo real de fabricar autopartes. Suben la rentabilidad normalizada.</w:t>
      </w:r>
    </w:p>
    <w:p>
      <w:pPr>
        <w:spacing w:after="140" w:line="276"/>
      </w:pPr>
      <w:r>
        <w:rPr>
          <w:b/>
          <w:bCs/>
        </w:rPr>
        <w:t xml:space="preserve">(2) Sueldo de mercado del dueño.</w:t>
      </w:r>
      <w:r>
        <w:t xml:space="preserve"> El espejo del ajuste anterior. Si el fundador trabaja a tiempo completo dirigiendo la empresa y </w:t>
      </w:r>
      <w:r>
        <w:rPr>
          <w:b/>
          <w:bCs/>
        </w:rPr>
        <w:t xml:space="preserve">no se paga</w:t>
      </w:r>
      <w:r>
        <w:t xml:space="preserve"> un sueldo (o se paga uno simbólico), hay que </w:t>
      </w:r>
      <w:r>
        <w:rPr>
          <w:b/>
          <w:bCs/>
        </w:rPr>
        <w:t xml:space="preserve">restar</w:t>
      </w:r>
      <w:r>
        <w:t xml:space="preserve"> el costo de reemplazarlo por un gerente profesional a precio de mercado. El negocio debe poder pagar ese sueldo y aun así rendir. Baja la rentabilidad normalizada. Estos dos ajustes son simétricos y se netean.</w:t>
      </w:r>
    </w:p>
    <w:p>
      <w:pPr>
        <w:spacing w:after="140" w:line="276"/>
      </w:pPr>
      <w:r>
        <w:rPr>
          <w:b/>
          <w:bCs/>
        </w:rPr>
        <w:t xml:space="preserve">(3) Dolarización.</w:t>
      </w:r>
      <w:r>
        <w:t xml:space="preserve"> En economías de </w:t>
      </w:r>
      <w:r>
        <w:rPr>
          <w:b/>
          <w:bCs/>
        </w:rPr>
        <w:t xml:space="preserve">alta inflación</w:t>
      </w:r>
      <w:r>
        <w:t xml:space="preserve"> (Argentina, Ecuador), modelar en moneda local mezcla pesos de distinto poder adquisitivo y crea una </w:t>
      </w:r>
      <w:r>
        <w:rPr>
          <w:b/>
          <w:bCs/>
        </w:rPr>
        <w:t xml:space="preserve">ilusión nominal</w:t>
      </w:r>
      <w:r>
        <w:t xml:space="preserve"> de crecimiento. La disciplina del skill es trabajar en </w:t>
      </w:r>
      <w:r>
        <w:rPr>
          <w:b/>
          <w:bCs/>
        </w:rPr>
        <w:t xml:space="preserve">USD</w:t>
      </w:r>
      <w:r>
        <w:t xml:space="preserve"> para aislar el crecimiento real de la ilusión nominal. Por eso todo el caso Andina está en miles de USD: un EBITDA que "crece" 80% en pesos puede estar </w:t>
      </w:r>
      <w:r>
        <w:rPr>
          <w:b/>
          <w:bCs/>
        </w:rPr>
        <w:t xml:space="preserve">cayendo</w:t>
      </w:r>
      <w:r>
        <w:t xml:space="preserve"> en dólares. Dolarizar es la condición para que el resto del análisis tenga sentido.</w:t>
      </w:r>
    </w:p>
    <w:p>
      <w:pPr>
        <w:pStyle w:val="Heading2"/>
        <w:spacing w:after="100" w:before="220"/>
      </w:pPr>
      <w:r>
        <w:t xml:space="preserve">El resultado normalizado y sus interrelaciones</w:t>
      </w:r>
    </w:p>
    <w:p>
      <w:pPr>
        <w:spacing w:after="140" w:line="276"/>
      </w:pPr>
      <w:r>
        <w:t xml:space="preserve">El producto de la normalización es un </w:t>
      </w:r>
      <w:r>
        <w:rPr>
          <w:b/>
          <w:bCs/>
        </w:rPr>
        <w:t xml:space="preserve">EBITDA normalizado</w:t>
      </w:r>
      <w:r>
        <w:t xml:space="preserve"> que reemplaza al contable como base de todo. Partís del EBITDA reportado, </w:t>
      </w:r>
      <w:r>
        <w:rPr>
          <w:b/>
          <w:bCs/>
        </w:rPr>
        <w:t xml:space="preserve">sumás</w:t>
      </w:r>
      <w:r>
        <w:t xml:space="preserve"> los gastos personales del dueño, </w:t>
      </w:r>
      <w:r>
        <w:rPr>
          <w:b/>
          <w:bCs/>
        </w:rPr>
        <w:t xml:space="preserve">restás</w:t>
      </w:r>
      <w:r>
        <w:t xml:space="preserve"> el sueldo de mercado faltante, y trabajás el todo en dólares. Ese número es el que alimenta el DCF, el TSR Sintético y la decisión de política de dividendos —no el EBITDA de presentación, que está inflado o deflactado por la mezcla familiar.</w:t>
      </w:r>
    </w:p>
    <w:p>
      <w:pPr>
        <w:spacing w:after="140" w:line="276"/>
      </w:pPr>
      <w:r>
        <w:t xml:space="preserve">La </w:t>
      </w:r>
      <w:r>
        <w:rPr>
          <w:b/>
          <w:bCs/>
        </w:rPr>
        <w:t xml:space="preserve">trampa más común</w:t>
      </w:r>
      <w:r>
        <w:t xml:space="preserve"> es normalizar en una sola dirección: sumar los gastos personales (que conviene, sube el resultado) pero "olvidar" restar el sueldo de mercado (que no conviene, lo baja). Eso vuelve a ser maquillaje, no gestión. La normalización honesta hace </w:t>
      </w:r>
      <w:r>
        <w:rPr>
          <w:b/>
          <w:bCs/>
        </w:rPr>
        <w:t xml:space="preserve">ambos</w:t>
      </w:r>
      <w:r>
        <w:t xml:space="preserve"> ajustes y acepta el número que salga, sea cual sea.</w:t>
      </w:r>
    </w:p>
    <w:p>
      <w:pPr>
        <w:spacing w:after="140" w:line="276"/>
      </w:pPr>
      <w:r>
        <w:t xml:space="preserve">Esto se enlaza con toda la Semana 2: la normalización es a los </w:t>
      </w:r>
      <w:r>
        <w:rPr>
          <w:b/>
          <w:bCs/>
        </w:rPr>
        <w:t xml:space="preserve">flujos</w:t>
      </w:r>
      <w:r>
        <w:t xml:space="preserve"> lo que el ajuste de activos ocultos/sobrevaluados es al </w:t>
      </w:r>
      <w:r>
        <w:rPr>
          <w:b/>
          <w:bCs/>
        </w:rPr>
        <w:t xml:space="preserve">patrimonio</w:t>
      </w:r>
      <w:r>
        <w:t xml:space="preserve">. Juntos producen una versión económica completa de la empresa —un balance y un resultado de gestión— sobre la cual recién se puede medir si Andina </w:t>
      </w:r>
      <w:r>
        <w:rPr>
          <w:b/>
          <w:bCs/>
        </w:rPr>
        <w:t xml:space="preserve">crea o destruye valor</w:t>
      </w:r>
      <w:r>
        <w:t xml:space="preserve">. Y conecta con el Ke del dueño no diversificado y con los descuentos DLOC/DLOM que aparecen al valuar la PyME cerrada.</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EBITDA reportado (contable)</w:t>
            </w:r>
          </w:p>
        </w:tc>
        <w:tc>
          <w:p>
            <w:pPr>
              <w:jc w:val="right"/>
            </w:pPr>
            <w:r>
              <w:rPr>
                <w:sz w:val="18"/>
                <w:szCs w:val="18"/>
              </w:rPr>
              <w:t xml:space="preserve">1120</w:t>
            </w:r>
          </w:p>
        </w:tc>
      </w:tr>
      <w:tr>
        <w:tc>
          <w:p>
            <w:pPr>
              <w:jc w:val="left"/>
            </w:pPr>
            <w:r>
              <w:rPr>
                <w:sz w:val="18"/>
                <w:szCs w:val="18"/>
              </w:rPr>
              <w:t xml:space="preserve">(+) Gastos personales del dueño</w:t>
            </w:r>
          </w:p>
        </w:tc>
        <w:tc>
          <w:p>
            <w:pPr>
              <w:jc w:val="right"/>
            </w:pPr>
            <w:r>
              <w:rPr>
                <w:sz w:val="18"/>
                <w:szCs w:val="18"/>
              </w:rPr>
              <w:t xml:space="preserve">180</w:t>
            </w:r>
          </w:p>
        </w:tc>
      </w:tr>
      <w:tr>
        <w:tc>
          <w:p>
            <w:pPr>
              <w:jc w:val="left"/>
            </w:pPr>
            <w:r>
              <w:rPr>
                <w:sz w:val="18"/>
                <w:szCs w:val="18"/>
              </w:rPr>
              <w:t xml:space="preserve">(−) Sueldo de mercado del dueño</w:t>
            </w:r>
          </w:p>
        </w:tc>
        <w:tc>
          <w:p>
            <w:pPr>
              <w:jc w:val="right"/>
            </w:pPr>
            <w:r>
              <w:rPr>
                <w:sz w:val="18"/>
                <w:szCs w:val="18"/>
              </w:rPr>
              <w:t xml:space="preserve">240</w:t>
            </w:r>
          </w:p>
        </w:tc>
      </w:tr>
      <w:tr>
        <w:tc>
          <w:p>
            <w:pPr>
              <w:jc w:val="left"/>
            </w:pPr>
            <w:r>
              <w:rPr>
                <w:sz w:val="18"/>
                <w:szCs w:val="18"/>
              </w:rPr>
              <w:t xml:space="preserve">Ventas netas (USD)</w:t>
            </w:r>
          </w:p>
        </w:tc>
        <w:tc>
          <w:p>
            <w:pPr>
              <w:jc w:val="right"/>
            </w:pPr>
            <w:r>
              <w:rPr>
                <w:sz w:val="18"/>
                <w:szCs w:val="18"/>
              </w:rPr>
              <w:t xml:space="preserve">8200</w:t>
            </w:r>
          </w:p>
        </w:tc>
      </w:tr>
      <w:tr>
        <w:tc>
          <w:p>
            <w:pPr>
              <w:jc w:val="left"/>
            </w:pPr>
            <w:r>
              <w:rPr>
                <w:sz w:val="18"/>
                <w:szCs w:val="18"/>
              </w:rPr>
              <w:t xml:space="preserve">Inflación local del período</w:t>
            </w:r>
          </w:p>
        </w:tc>
        <w:tc>
          <w:p>
            <w:pPr>
              <w:jc w:val="right"/>
            </w:pPr>
            <w:r>
              <w:rPr>
                <w:sz w:val="18"/>
                <w:szCs w:val="18"/>
              </w:rPr>
              <w:t xml:space="preserve">0.8</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Ajuste neto de normalización</w:t>
            </w:r>
          </w:p>
        </w:tc>
        <w:tc>
          <w:p>
            <w:pPr>
              <w:jc w:val="right"/>
            </w:pPr>
            <w:r>
              <w:rPr>
                <w:sz w:val="18"/>
                <w:szCs w:val="18"/>
              </w:rPr>
              <w:t xml:space="preserve">gastosDueno-sueldoMercado</w:t>
            </w:r>
          </w:p>
        </w:tc>
      </w:tr>
      <w:tr>
        <w:tc>
          <w:p>
            <w:pPr>
              <w:jc w:val="left"/>
            </w:pPr>
            <w:r>
              <w:rPr>
                <w:sz w:val="18"/>
                <w:szCs w:val="18"/>
              </w:rPr>
              <w:t xml:space="preserve">EBITDA normalizado (en USD)</w:t>
            </w:r>
          </w:p>
        </w:tc>
        <w:tc>
          <w:p>
            <w:pPr>
              <w:jc w:val="right"/>
            </w:pPr>
            <w:r>
              <w:rPr>
                <w:sz w:val="18"/>
                <w:szCs w:val="18"/>
              </w:rPr>
              <w:t xml:space="preserve">ebitdaReport+ajusteNorm</w:t>
            </w:r>
          </w:p>
        </w:tc>
      </w:tr>
      <w:tr>
        <w:tc>
          <w:p>
            <w:pPr>
              <w:jc w:val="left"/>
            </w:pPr>
            <w:r>
              <w:rPr>
                <w:sz w:val="18"/>
                <w:szCs w:val="18"/>
              </w:rPr>
              <w:t xml:space="preserve">Margen EBITDA normalizado</w:t>
            </w:r>
          </w:p>
        </w:tc>
        <w:tc>
          <w:p>
            <w:pPr>
              <w:jc w:val="right"/>
            </w:pPr>
            <w:r>
              <w:rPr>
                <w:sz w:val="18"/>
                <w:szCs w:val="18"/>
              </w:rPr>
              <w:t xml:space="preserve">ebitdaNorm/ventas</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2026-06-24T11:50:52.107Z</dcterms:created>
  <dcterms:modified xsi:type="dcterms:W3CDTF">2026-06-24T11:50:52.107Z</dcterms:modified>
</cp:coreProperties>
</file>

<file path=docProps/custom.xml><?xml version="1.0" encoding="utf-8"?>
<Properties xmlns="http://schemas.openxmlformats.org/officeDocument/2006/custom-properties" xmlns:vt="http://schemas.openxmlformats.org/officeDocument/2006/docPropsVTypes"/>
</file>