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3</w:t>
      </w:r>
    </w:p>
    <w:p>
      <w:pPr>
        <w:pStyle w:val="Title"/>
        <w:spacing w:after="40"/>
      </w:pPr>
      <w:r>
        <w:t xml:space="preserve">Ítem 3. ROIC: cuánto rinde cada peso invertido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La medida central de la creación de valor en el marco McKinsey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McKinsey · ROIC = NOPAT / Capital Invertido</w:t>
      </w:r>
    </w:p>
    <w:p>
      <w:pPr>
        <w:pStyle w:val="Heading2"/>
        <w:spacing w:after="100" w:before="220"/>
      </w:pPr>
      <w:r>
        <w:t xml:space="preserve">El indicador que sintetiza todo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ROIC (Return on Invested Capital)</w:t>
      </w:r>
      <w:r>
        <w:t xml:space="preserve"> mide cuánto NOPAT genera la empresa por cada peso de capital efectivamente invertido en las operaciones: </w:t>
      </w:r>
      <w:r>
        <w:rPr>
          <w:b/>
          <w:bCs/>
        </w:rPr>
        <w:t xml:space="preserve">ROIC = NOPAT / Capital Invertido</w:t>
      </w:r>
      <w:r>
        <w:t xml:space="preserve">. Es la medida central de la creación de valor en el marco McKinsey, porque junta en un solo número la rentabilidad (NOPAT) y la eficiencia del capital (cuánto capital hizo falta para generarla).</w:t>
      </w:r>
    </w:p>
    <w:p>
      <w:pPr>
        <w:spacing w:after="140" w:line="276"/>
      </w:pPr>
      <w:r>
        <w:t xml:space="preserve">En Andina: NOPAT ≈ </w:t>
      </w:r>
      <w:r>
        <w:rPr>
          <w:b/>
          <w:bCs/>
        </w:rPr>
        <w:t xml:space="preserve">540</w:t>
      </w:r>
      <w:r>
        <w:t xml:space="preserve"> sobre un capital invertido de ≈ </w:t>
      </w:r>
      <w:r>
        <w:rPr>
          <w:b/>
          <w:bCs/>
        </w:rPr>
        <w:t xml:space="preserve">5530</w:t>
      </w:r>
      <w:r>
        <w:t xml:space="preserve"> da un ROIC de </w:t>
      </w:r>
      <w:r>
        <w:rPr>
          <w:b/>
          <w:bCs/>
        </w:rPr>
        <w:t xml:space="preserve">~9,7%</w:t>
      </w:r>
      <w:r>
        <w:t xml:space="preserve">. Por sí solo, ese número no dice si está bien o mal: el veredicto llega al compararlo con el </w:t>
      </w:r>
      <w:r>
        <w:rPr>
          <w:b/>
          <w:bCs/>
        </w:rPr>
        <w:t xml:space="preserve">WACC</w:t>
      </w:r>
      <w:r>
        <w:t xml:space="preserve"> (el costo del capital, Semana 9). Si el ROIC supera al WACC, la empresa </w:t>
      </w:r>
      <w:r>
        <w:rPr>
          <w:b/>
          <w:bCs/>
        </w:rPr>
        <w:t xml:space="preserve">crea valor</w:t>
      </w:r>
      <w:r>
        <w:t xml:space="preserve">; si no, lo </w:t>
      </w:r>
      <w:r>
        <w:rPr>
          <w:b/>
          <w:bCs/>
        </w:rPr>
        <w:t xml:space="preserve">destruye</w:t>
      </w:r>
      <w:r>
        <w:t xml:space="preserve">, aunque tenga ganancia contable.</w:t>
      </w:r>
    </w:p>
    <w:p>
      <w:pPr>
        <w:spacing w:after="140" w:line="276"/>
      </w:pPr>
      <w:r>
        <w:t xml:space="preserve">Esta es la regla de oro de todo el programa: </w:t>
      </w:r>
      <w:r>
        <w:rPr>
          <w:b/>
          <w:bCs/>
        </w:rPr>
        <w:t xml:space="preserve">ROIC &gt; WACC crea valor; ROIC &lt; WACC lo destruye</w:t>
      </w:r>
      <w:r>
        <w:t xml:space="preserve">. El ROIC no se mira solo: se mira contra su costo. Andina, con un ROIC del 9,7% y un WACC que ronda el 21%, está en zona de destrucción de valor a pesar de mostrar utilidad en el balance.</w:t>
      </w:r>
    </w:p>
    <w:p>
      <w:pPr>
        <w:pStyle w:val="Heading2"/>
        <w:spacing w:after="100" w:before="220"/>
      </w:pPr>
      <w:r>
        <w:t xml:space="preserve">El árbol: margen por rotación</w:t>
      </w:r>
    </w:p>
    <w:p>
      <w:pPr>
        <w:spacing w:after="140" w:line="276"/>
      </w:pPr>
      <w:r>
        <w:t xml:space="preserve">El ROIC se abre en dos palancas multiplicativas: </w:t>
      </w:r>
      <w:r>
        <w:rPr>
          <w:b/>
          <w:bCs/>
        </w:rPr>
        <w:t xml:space="preserve">ROIC = margen operativo × rotación del capital</w:t>
      </w:r>
      <w:r>
        <w:t xml:space="preserve">, donde margen = NOPAT/Ventas y rotación = Ventas/Capital Invertido. Esto es el corazón del árbol de generadores de valor: se puede ganar por </w:t>
      </w:r>
      <w:r>
        <w:rPr>
          <w:b/>
          <w:bCs/>
        </w:rPr>
        <w:t xml:space="preserve">margen</w:t>
      </w:r>
      <w:r>
        <w:t xml:space="preserve"> (vender caro o con bajo costo) o por </w:t>
      </w:r>
      <w:r>
        <w:rPr>
          <w:b/>
          <w:bCs/>
        </w:rPr>
        <w:t xml:space="preserve">rotación</w:t>
      </w:r>
      <w:r>
        <w:t xml:space="preserve"> (usar poco capital para mucha venta).</w:t>
      </w:r>
    </w:p>
    <w:p>
      <w:pPr>
        <w:spacing w:after="140" w:line="276"/>
      </w:pPr>
      <w:r>
        <w:t xml:space="preserve">Andina es un caso de libro de </w:t>
      </w:r>
      <w:r>
        <w:rPr>
          <w:b/>
          <w:bCs/>
        </w:rPr>
        <w:t xml:space="preserve">mala rotación</w:t>
      </w:r>
      <w:r>
        <w:t xml:space="preserve">: tiene margen operativo razonable, pero rota poco su capital porque lo tiene inmovilizado en inventario obsoleto y cuentas por cobrar morosas. Atacar la rotación (el denominador, ítem 2) es su camino más corto para subir el ROIC, mucho más que pelear el margen.</w:t>
      </w:r>
    </w:p>
    <w:p>
      <w:pPr>
        <w:pStyle w:val="Heading2"/>
        <w:spacing w:after="100" w:before="220"/>
      </w:pPr>
      <w:r>
        <w:t xml:space="preserve">Debilidades e interrelaciones</w:t>
      </w:r>
    </w:p>
    <w:p>
      <w:pPr>
        <w:spacing w:after="140" w:line="276"/>
      </w:pPr>
      <w:r>
        <w:rPr>
          <w:b/>
          <w:bCs/>
        </w:rPr>
        <w:t xml:space="preserve">Cuidado con los activos viejos:</w:t>
      </w:r>
      <w:r>
        <w:t xml:space="preserve"> la maquinaria depreciada a costo histórico achica el denominador y genera una </w:t>
      </w:r>
      <w:r>
        <w:rPr>
          <w:b/>
          <w:bCs/>
        </w:rPr>
        <w:t xml:space="preserve">ilusión de rentabilidad</w:t>
      </w:r>
      <w:r>
        <w:t xml:space="preserve"> (ROIC inflado). En entornos inflacionarios conviene contrastar el ROIC contable con el CFROI, que trabaja a valores corrientes. Si CFROI &lt;&lt; ROIC, hay distorsión.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ROIC alimenta el </w:t>
      </w:r>
      <w:r>
        <w:rPr>
          <w:b/>
          <w:bCs/>
        </w:rPr>
        <w:t xml:space="preserve">spread ROIC − WACC</w:t>
      </w:r>
      <w:r>
        <w:t xml:space="preserve"> y, vía la escala, el </w:t>
      </w:r>
      <w:r>
        <w:rPr>
          <w:b/>
          <w:bCs/>
        </w:rPr>
        <w:t xml:space="preserve">EVA</w:t>
      </w:r>
      <w:r>
        <w:t xml:space="preserve"> (Semana 4). El DuPont (ítem 4) descompone su primo el ROE para mostrar dónde está la palanca. Y el </w:t>
      </w:r>
      <w:r>
        <w:rPr>
          <w:b/>
          <w:bCs/>
        </w:rPr>
        <w:t xml:space="preserve">RONIC</w:t>
      </w:r>
      <w:r>
        <w:t xml:space="preserve"> (Semana 4) hace la pregunta del futuro: el ROIC dice cómo le fue al capital ya invertido; el RONIC, si conviene seguir invirtiendo.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NOPAT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540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Capital invertido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5530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WACC (costo del capital)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ROIC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nopat/capInv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Spread (ROIC − WACC)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roic-wacc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2026-06-24T11:50:52.189Z</dcterms:created>
  <dcterms:modified xsi:type="dcterms:W3CDTF">2026-06-24T11:50:52.189Z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