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3</w:t>
      </w:r>
    </w:p>
    <w:p>
      <w:pPr>
        <w:pStyle w:val="Title"/>
        <w:spacing w:after="40"/>
      </w:pPr>
      <w:r>
        <w:t xml:space="preserve">Ítem 4. DuPont de 5 factores: anatomía del ROE</w:t>
      </w:r>
    </w:p>
    <w:p>
      <w:pPr>
        <w:spacing w:after="40"/>
      </w:pPr>
      <w:r>
        <w:rPr>
          <w:i/>
          <w:iCs/>
          <w:color w:val="555555"/>
          <w:sz w:val="22"/>
          <w:szCs w:val="22"/>
        </w:rPr>
        <w:t xml:space="preserve">De dónde viene de verdad la rentabilidad del accionista</w:t>
      </w:r>
    </w:p>
    <w:p>
      <w:pPr>
        <w:spacing w:after="160"/>
      </w:pPr>
      <w:r>
        <w:rPr>
          <w:b/>
          <w:bCs/>
          <w:color w:val="94741F"/>
          <w:sz w:val="18"/>
          <w:szCs w:val="18"/>
        </w:rPr>
        <w:t xml:space="preserve">Marco: DuPont extendido · value-generation-emerging-markets</w:t>
      </w:r>
    </w:p>
    <w:p>
      <w:pPr>
        <w:pStyle w:val="Heading2"/>
        <w:spacing w:after="100" w:before="220"/>
      </w:pPr>
      <w:r>
        <w:t xml:space="preserve">Cinco palancas que arman el ROE</w:t>
      </w:r>
    </w:p>
    <w:p>
      <w:pPr>
        <w:spacing w:after="140" w:line="276"/>
      </w:pPr>
      <w:r>
        <w:t xml:space="preserve">El </w:t>
      </w:r>
      <w:r>
        <w:rPr>
          <w:b/>
          <w:bCs/>
        </w:rPr>
        <w:t xml:space="preserve">DuPont de cinco factores</w:t>
      </w:r>
      <w:r>
        <w:t xml:space="preserve"> descompone el </w:t>
      </w:r>
      <w:r>
        <w:rPr>
          <w:b/>
          <w:bCs/>
        </w:rPr>
        <w:t xml:space="preserve">ROE</w:t>
      </w:r>
      <w:r>
        <w:t xml:space="preserve"> (= Utilidad Neta / Patrimonio) en cinco palancas multiplicativas que revelan de dónde proviene la rentabilidad del accionista: </w:t>
      </w:r>
      <w:r>
        <w:rPr>
          <w:b/>
          <w:bCs/>
        </w:rPr>
        <w:t xml:space="preserve">ROE = (UN/UAI) × (UAI/EBIT) × (EBIT/Ventas) × (Ventas/Activos) × (Activos/Patrimonio)</w:t>
      </w:r>
      <w:r>
        <w:t xml:space="preserve">. Al multiplicarse, los términos intermedios se cancelan y queda UN/Patrimonio = ROE.</w:t>
      </w:r>
    </w:p>
    <w:p>
      <w:pPr>
        <w:spacing w:after="140" w:line="276"/>
      </w:pPr>
      <w:r>
        <w:t xml:space="preserve">Los cinco factores son: </w:t>
      </w:r>
      <w:r>
        <w:rPr>
          <w:b/>
          <w:bCs/>
        </w:rPr>
        <w:t xml:space="preserve">(1) Efecto fiscal</w:t>
      </w:r>
      <w:r>
        <w:t xml:space="preserve"> (UN/UAI ≈ 1 − tasa efectiva), qué fracción sobrevive a impuestos; </w:t>
      </w:r>
      <w:r>
        <w:rPr>
          <w:b/>
          <w:bCs/>
        </w:rPr>
        <w:t xml:space="preserve">(2) Carga de intereses</w:t>
      </w:r>
      <w:r>
        <w:t xml:space="preserve"> (UAI/EBIT), cuánto del resultado operativo sobrevive después de pagar la deuda; </w:t>
      </w:r>
      <w:r>
        <w:rPr>
          <w:b/>
          <w:bCs/>
        </w:rPr>
        <w:t xml:space="preserve">(3) Margen operativo</w:t>
      </w:r>
      <w:r>
        <w:t xml:space="preserve"> (EBIT/Ventas), la eficiencia de costos y precios; </w:t>
      </w:r>
      <w:r>
        <w:rPr>
          <w:b/>
          <w:bCs/>
        </w:rPr>
        <w:t xml:space="preserve">(4) Rotación de activos</w:t>
      </w:r>
      <w:r>
        <w:t xml:space="preserve"> (Ventas/Activos), cuánta venta genera cada peso de activo; y </w:t>
      </w:r>
      <w:r>
        <w:rPr>
          <w:b/>
          <w:bCs/>
        </w:rPr>
        <w:t xml:space="preserve">(5) Multiplicador financiero</w:t>
      </w:r>
      <w:r>
        <w:t xml:space="preserve"> (Activos/Patrimonio), cuánto activo se sostiene por cada peso de patrimonio.</w:t>
      </w:r>
    </w:p>
    <w:p>
      <w:pPr>
        <w:spacing w:after="140" w:line="276"/>
      </w:pPr>
      <w:r>
        <w:t xml:space="preserve">Los factores 3 y 4 (margen × rotación) son el </w:t>
      </w:r>
      <w:r>
        <w:rPr>
          <w:b/>
          <w:bCs/>
        </w:rPr>
        <w:t xml:space="preserve">núcleo operativo</w:t>
      </w:r>
      <w:r>
        <w:t xml:space="preserve"> —primo hermano del ROIC—; los factores 1 y 2 capturan el drenaje fiscal y financiero; el factor 5 es la amplificación por estructura de capital. Esta apertura permite ver si un ROE atractivo viene de la operación, del apalancamiento o de una baja carga impositiva.</w:t>
      </w:r>
    </w:p>
    <w:p>
      <w:pPr>
        <w:pStyle w:val="Heading2"/>
        <w:spacing w:after="100" w:before="220"/>
      </w:pPr>
      <w:r>
        <w:t xml:space="preserve">El ROE de Andina, factor por factor</w:t>
      </w:r>
    </w:p>
    <w:p>
      <w:pPr>
        <w:spacing w:after="140" w:line="276"/>
      </w:pPr>
      <w:r>
        <w:t xml:space="preserve">Con las cifras de 2024: UN = </w:t>
      </w:r>
      <w:r>
        <w:rPr>
          <w:b/>
          <w:bCs/>
        </w:rPr>
        <w:t xml:space="preserve">175</w:t>
      </w:r>
      <w:r>
        <w:t xml:space="preserve">, UAI = </w:t>
      </w:r>
      <w:r>
        <w:rPr>
          <w:b/>
          <w:bCs/>
        </w:rPr>
        <w:t xml:space="preserve">270</w:t>
      </w:r>
      <w:r>
        <w:t xml:space="preserve">, EBIT = </w:t>
      </w:r>
      <w:r>
        <w:rPr>
          <w:b/>
          <w:bCs/>
        </w:rPr>
        <w:t xml:space="preserve">830</w:t>
      </w:r>
      <w:r>
        <w:t xml:space="preserve">, Ventas = </w:t>
      </w:r>
      <w:r>
        <w:rPr>
          <w:b/>
          <w:bCs/>
        </w:rPr>
        <w:t xml:space="preserve">8200</w:t>
      </w:r>
      <w:r>
        <w:t xml:space="preserve">, Activos = </w:t>
      </w:r>
      <w:r>
        <w:rPr>
          <w:b/>
          <w:bCs/>
        </w:rPr>
        <w:t xml:space="preserve">7370</w:t>
      </w:r>
      <w:r>
        <w:t xml:space="preserve">, Patrimonio = </w:t>
      </w:r>
      <w:r>
        <w:rPr>
          <w:b/>
          <w:bCs/>
        </w:rPr>
        <w:t xml:space="preserve">2770</w:t>
      </w:r>
      <w:r>
        <w:t xml:space="preserve">. El ROE es 175/2770 = </w:t>
      </w:r>
      <w:r>
        <w:rPr>
          <w:b/>
          <w:bCs/>
        </w:rPr>
        <w:t xml:space="preserve">~6,3%</w:t>
      </w:r>
      <w:r>
        <w:t xml:space="preserve">. Pero la magia está en la apertura: efecto fiscal = 175/270 = </w:t>
      </w:r>
      <w:r>
        <w:rPr>
          <w:b/>
          <w:bCs/>
        </w:rPr>
        <w:t xml:space="preserve">0,65</w:t>
      </w:r>
      <w:r>
        <w:t xml:space="preserve">; carga de intereses = 270/830 = </w:t>
      </w:r>
      <w:r>
        <w:rPr>
          <w:b/>
          <w:bCs/>
        </w:rPr>
        <w:t xml:space="preserve">0,33</w:t>
      </w:r>
      <w:r>
        <w:t xml:space="preserve">; margen operativo = 830/8200 = </w:t>
      </w:r>
      <w:r>
        <w:rPr>
          <w:b/>
          <w:bCs/>
        </w:rPr>
        <w:t xml:space="preserve">10,1%</w:t>
      </w:r>
      <w:r>
        <w:t xml:space="preserve">; rotación = 8200/7370 = </w:t>
      </w:r>
      <w:r>
        <w:rPr>
          <w:b/>
          <w:bCs/>
        </w:rPr>
        <w:t xml:space="preserve">1,11</w:t>
      </w:r>
      <w:r>
        <w:t xml:space="preserve">; multiplicador = 7370/2770 = </w:t>
      </w:r>
      <w:r>
        <w:rPr>
          <w:b/>
          <w:bCs/>
        </w:rPr>
        <w:t xml:space="preserve">2,66</w:t>
      </w:r>
      <w:r>
        <w:t xml:space="preserve">.</w:t>
      </w:r>
    </w:p>
    <w:p>
      <w:pPr>
        <w:spacing w:after="140" w:line="276"/>
      </w:pPr>
      <w:r>
        <w:t xml:space="preserve">El factor demoledor es la </w:t>
      </w:r>
      <w:r>
        <w:rPr>
          <w:b/>
          <w:bCs/>
        </w:rPr>
        <w:t xml:space="preserve">carga de intereses de 0,33</w:t>
      </w:r>
      <w:r>
        <w:t xml:space="preserve">: de cada peso de EBIT, solo 33 centavos sobreviven después de pagar la deuda cara. Ahí se evapora dos tercios del resultado operativo. El DuPont diagnostica con precisión quirúrgica que el problema de Andina </w:t>
      </w:r>
      <w:r>
        <w:rPr>
          <w:b/>
          <w:bCs/>
        </w:rPr>
        <w:t xml:space="preserve">no es la operación</w:t>
      </w:r>
      <w:r>
        <w:t xml:space="preserve"> (margen y rotación razonables) sino el </w:t>
      </w:r>
      <w:r>
        <w:rPr>
          <w:b/>
          <w:bCs/>
        </w:rPr>
        <w:t xml:space="preserve">costo financiero</w:t>
      </w:r>
      <w:r>
        <w:t xml:space="preserve"> que la asfixia.</w:t>
      </w:r>
    </w:p>
    <w:p>
      <w:pPr>
        <w:pStyle w:val="Heading2"/>
        <w:spacing w:after="100" w:before="220"/>
      </w:pPr>
      <w:r>
        <w:t xml:space="preserve">Interrelaciones y trampas</w:t>
      </w:r>
    </w:p>
    <w:p>
      <w:pPr>
        <w:spacing w:after="140" w:line="276"/>
      </w:pPr>
      <w:r>
        <w:rPr>
          <w:b/>
          <w:bCs/>
        </w:rPr>
        <w:t xml:space="preserve">Interrelación clave:</w:t>
      </w:r>
      <w:r>
        <w:t xml:space="preserve"> el núcleo operativo (margen × rotación) es </w:t>
      </w:r>
      <w:r>
        <w:rPr>
          <w:b/>
          <w:bCs/>
        </w:rPr>
        <w:t xml:space="preserve">primo hermano del ROIC</w:t>
      </w:r>
      <w:r>
        <w:t xml:space="preserve"> (ítem 3). La diferencia entre ROE y ROIC se explica justamente por el apalancamiento y el costo de la deuda: el puente es ROE = ROIC + (ROIC − Kd(1−t)) × (D/E). Apalancarse agrega ROE solo si el ROIC supera el costo de la deuda después de impuestos.</w:t>
      </w:r>
    </w:p>
    <w:p>
      <w:pPr>
        <w:spacing w:after="140" w:line="276"/>
      </w:pPr>
      <w:r>
        <w:rPr>
          <w:b/>
          <w:bCs/>
        </w:rPr>
        <w:t xml:space="preserve">Trampa frecuente:</w:t>
      </w:r>
      <w:r>
        <w:t xml:space="preserve"> un ROE alto puede ser </w:t>
      </w:r>
      <w:r>
        <w:rPr>
          <w:b/>
          <w:bCs/>
        </w:rPr>
        <w:t xml:space="preserve">de mala calidad</w:t>
      </w:r>
      <w:r>
        <w:t xml:space="preserve">, sostenido por un multiplicador financiero alto (mucha deuda) y no por la operación. Se ve "rentable" pero es frágil: cualquier caída de ventas lo hunde. El DuPont es la herramienta para no confundir un ROE rentable con uno simplemente muy endeudado.</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Utilidad neta</w:t>
            </w:r>
          </w:p>
        </w:tc>
        <w:tc>
          <w:p>
            <w:pPr>
              <w:jc w:val="right"/>
            </w:pPr>
            <w:r>
              <w:rPr>
                <w:sz w:val="18"/>
                <w:szCs w:val="18"/>
              </w:rPr>
              <w:t xml:space="preserve">175</w:t>
            </w:r>
          </w:p>
        </w:tc>
      </w:tr>
      <w:tr>
        <w:tc>
          <w:p>
            <w:pPr>
              <w:jc w:val="left"/>
            </w:pPr>
            <w:r>
              <w:rPr>
                <w:sz w:val="18"/>
                <w:szCs w:val="18"/>
              </w:rPr>
              <w:t xml:space="preserve">Utilidad antes de impuestos (UAI)</w:t>
            </w:r>
          </w:p>
        </w:tc>
        <w:tc>
          <w:p>
            <w:pPr>
              <w:jc w:val="right"/>
            </w:pPr>
            <w:r>
              <w:rPr>
                <w:sz w:val="18"/>
                <w:szCs w:val="18"/>
              </w:rPr>
              <w:t xml:space="preserve">270</w:t>
            </w:r>
          </w:p>
        </w:tc>
      </w:tr>
      <w:tr>
        <w:tc>
          <w:p>
            <w:pPr>
              <w:jc w:val="left"/>
            </w:pPr>
            <w:r>
              <w:rPr>
                <w:sz w:val="18"/>
                <w:szCs w:val="18"/>
              </w:rPr>
              <w:t xml:space="preserve">EBIT</w:t>
            </w:r>
          </w:p>
        </w:tc>
        <w:tc>
          <w:p>
            <w:pPr>
              <w:jc w:val="right"/>
            </w:pPr>
            <w:r>
              <w:rPr>
                <w:sz w:val="18"/>
                <w:szCs w:val="18"/>
              </w:rPr>
              <w:t xml:space="preserve">830</w:t>
            </w:r>
          </w:p>
        </w:tc>
      </w:tr>
      <w:tr>
        <w:tc>
          <w:p>
            <w:pPr>
              <w:jc w:val="left"/>
            </w:pPr>
            <w:r>
              <w:rPr>
                <w:sz w:val="18"/>
                <w:szCs w:val="18"/>
              </w:rPr>
              <w:t xml:space="preserve">Ventas</w:t>
            </w:r>
          </w:p>
        </w:tc>
        <w:tc>
          <w:p>
            <w:pPr>
              <w:jc w:val="right"/>
            </w:pPr>
            <w:r>
              <w:rPr>
                <w:sz w:val="18"/>
                <w:szCs w:val="18"/>
              </w:rPr>
              <w:t xml:space="preserve">8200</w:t>
            </w:r>
          </w:p>
        </w:tc>
      </w:tr>
      <w:tr>
        <w:tc>
          <w:p>
            <w:pPr>
              <w:jc w:val="left"/>
            </w:pPr>
            <w:r>
              <w:rPr>
                <w:sz w:val="18"/>
                <w:szCs w:val="18"/>
              </w:rPr>
              <w:t xml:space="preserve">Activos totales</w:t>
            </w:r>
          </w:p>
        </w:tc>
        <w:tc>
          <w:p>
            <w:pPr>
              <w:jc w:val="right"/>
            </w:pPr>
            <w:r>
              <w:rPr>
                <w:sz w:val="18"/>
                <w:szCs w:val="18"/>
              </w:rPr>
              <w:t xml:space="preserve">7370</w:t>
            </w:r>
          </w:p>
        </w:tc>
      </w:tr>
      <w:tr>
        <w:tc>
          <w:p>
            <w:pPr>
              <w:jc w:val="left"/>
            </w:pPr>
            <w:r>
              <w:rPr>
                <w:sz w:val="18"/>
                <w:szCs w:val="18"/>
              </w:rPr>
              <w:t xml:space="preserve">Patrimonio neto</w:t>
            </w:r>
          </w:p>
        </w:tc>
        <w:tc>
          <w:p>
            <w:pPr>
              <w:jc w:val="right"/>
            </w:pPr>
            <w:r>
              <w:rPr>
                <w:sz w:val="18"/>
                <w:szCs w:val="18"/>
              </w:rPr>
              <w:t xml:space="preserve">2770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Efecto fiscal (UN/UAI)</w:t>
            </w:r>
          </w:p>
        </w:tc>
        <w:tc>
          <w:p>
            <w:pPr>
              <w:jc w:val="right"/>
            </w:pPr>
            <w:r>
              <w:rPr>
                <w:sz w:val="18"/>
                <w:szCs w:val="18"/>
              </w:rPr>
              <w:t xml:space="preserve">un/uai</w:t>
            </w:r>
          </w:p>
        </w:tc>
      </w:tr>
      <w:tr>
        <w:tc>
          <w:p>
            <w:pPr>
              <w:jc w:val="left"/>
            </w:pPr>
            <w:r>
              <w:rPr>
                <w:sz w:val="18"/>
                <w:szCs w:val="18"/>
              </w:rPr>
              <w:t xml:space="preserve">Carga de intereses (UAI/EBIT)</w:t>
            </w:r>
          </w:p>
        </w:tc>
        <w:tc>
          <w:p>
            <w:pPr>
              <w:jc w:val="right"/>
            </w:pPr>
            <w:r>
              <w:rPr>
                <w:sz w:val="18"/>
                <w:szCs w:val="18"/>
              </w:rPr>
              <w:t xml:space="preserve">uai/ebit</w:t>
            </w:r>
          </w:p>
        </w:tc>
      </w:tr>
      <w:tr>
        <w:tc>
          <w:p>
            <w:pPr>
              <w:jc w:val="left"/>
            </w:pPr>
            <w:r>
              <w:rPr>
                <w:sz w:val="18"/>
                <w:szCs w:val="18"/>
              </w:rPr>
              <w:t xml:space="preserve">Margen operativo (EBIT/Ventas)</w:t>
            </w:r>
          </w:p>
        </w:tc>
        <w:tc>
          <w:p>
            <w:pPr>
              <w:jc w:val="right"/>
            </w:pPr>
            <w:r>
              <w:rPr>
                <w:sz w:val="18"/>
                <w:szCs w:val="18"/>
              </w:rPr>
              <w:t xml:space="preserve">ebit/ventas</w:t>
            </w:r>
          </w:p>
        </w:tc>
      </w:tr>
      <w:tr>
        <w:tc>
          <w:p>
            <w:pPr>
              <w:jc w:val="left"/>
            </w:pPr>
            <w:r>
              <w:rPr>
                <w:sz w:val="18"/>
                <w:szCs w:val="18"/>
              </w:rPr>
              <w:t xml:space="preserve">Rotación (Ventas/Activos)</w:t>
            </w:r>
          </w:p>
        </w:tc>
        <w:tc>
          <w:p>
            <w:pPr>
              <w:jc w:val="right"/>
            </w:pPr>
            <w:r>
              <w:rPr>
                <w:sz w:val="18"/>
                <w:szCs w:val="18"/>
              </w:rPr>
              <w:t xml:space="preserve">ventas/activos</w:t>
            </w:r>
          </w:p>
        </w:tc>
      </w:tr>
      <w:tr>
        <w:tc>
          <w:p>
            <w:pPr>
              <w:jc w:val="left"/>
            </w:pPr>
            <w:r>
              <w:rPr>
                <w:sz w:val="18"/>
                <w:szCs w:val="18"/>
              </w:rPr>
              <w:t xml:space="preserve">Apalancamiento (Activos/PN)</w:t>
            </w:r>
          </w:p>
        </w:tc>
        <w:tc>
          <w:p>
            <w:pPr>
              <w:jc w:val="right"/>
            </w:pPr>
            <w:r>
              <w:rPr>
                <w:sz w:val="18"/>
                <w:szCs w:val="18"/>
              </w:rPr>
              <w:t xml:space="preserve">activos/pn</w:t>
            </w:r>
          </w:p>
        </w:tc>
      </w:tr>
      <w:tr>
        <w:tc>
          <w:p>
            <w:pPr>
              <w:jc w:val="left"/>
            </w:pPr>
            <w:r>
              <w:rPr>
                <w:sz w:val="18"/>
                <w:szCs w:val="18"/>
              </w:rPr>
              <w:t xml:space="preserve">ROE (producto de los 5 factores)</w:t>
            </w:r>
          </w:p>
        </w:tc>
        <w:tc>
          <w:p>
            <w:pPr>
              <w:jc w:val="right"/>
            </w:pPr>
            <w:r>
              <w:rPr>
                <w:sz w:val="18"/>
                <w:szCs w:val="18"/>
              </w:rPr>
              <w:t xml:space="preserve">fFiscal</w:t>
            </w:r>
            <w:r>
              <w:rPr>
                <w:i/>
                <w:iCs/>
                <w:sz w:val="18"/>
                <w:szCs w:val="18"/>
              </w:rPr>
              <w:t xml:space="preserve">fInteres</w:t>
            </w:r>
            <w:r>
              <w:rPr>
                <w:sz w:val="18"/>
                <w:szCs w:val="18"/>
              </w:rPr>
              <w:t xml:space="preserve">fMargen</w:t>
            </w:r>
            <w:r>
              <w:rPr>
                <w:i/>
                <w:iCs/>
                <w:sz w:val="18"/>
                <w:szCs w:val="18"/>
              </w:rPr>
              <w:t xml:space="preserve">fRot</w:t>
            </w:r>
            <w:r>
              <w:rPr>
                <w:sz w:val="18"/>
                <w:szCs w:val="18"/>
              </w:rPr>
              <w:t xml:space="preserve">fApal</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2026-06-24T11:50:52.208Z</dcterms:created>
  <dcterms:modified xsi:type="dcterms:W3CDTF">2026-06-24T11:50:52.208Z</dcterms:modified>
</cp:coreProperties>
</file>

<file path=docProps/custom.xml><?xml version="1.0" encoding="utf-8"?>
<Properties xmlns="http://schemas.openxmlformats.org/officeDocument/2006/custom-properties" xmlns:vt="http://schemas.openxmlformats.org/officeDocument/2006/docPropsVTypes"/>
</file>