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4</w:t>
      </w:r>
    </w:p>
    <w:p>
      <w:pPr>
        <w:pStyle w:val="Title"/>
        <w:spacing w:after="40"/>
      </w:pPr>
      <w:r>
        <w:t xml:space="preserve">Ítem 1. EVA: la ganancia que sobra después de pagar el capital</w:t>
      </w:r>
    </w:p>
    <w:p>
      <w:pPr>
        <w:spacing w:after="40"/>
      </w:pPr>
      <w:r>
        <w:rPr>
          <w:i/>
          <w:iCs/>
          <w:color w:val="555555"/>
          <w:sz w:val="22"/>
          <w:szCs w:val="22"/>
        </w:rPr>
        <w:t xml:space="preserve">La utilidad económica real, en pesos, de un período</w:t>
      </w:r>
    </w:p>
    <w:p>
      <w:pPr>
        <w:spacing w:after="160"/>
      </w:pPr>
      <w:r>
        <w:rPr>
          <w:b/>
          <w:bCs/>
          <w:color w:val="94741F"/>
          <w:sz w:val="18"/>
          <w:szCs w:val="18"/>
        </w:rPr>
        <w:t xml:space="preserve">Marco: Stern Stewart · EVA</w:t>
      </w:r>
    </w:p>
    <w:p>
      <w:pPr>
        <w:pStyle w:val="Heading2"/>
        <w:spacing w:after="100" w:before="220"/>
      </w:pPr>
      <w:r>
        <w:t xml:space="preserve">La ganancia económica, no la contable</w:t>
      </w:r>
    </w:p>
    <w:p>
      <w:pPr>
        <w:spacing w:after="140" w:line="276"/>
      </w:pPr>
      <w:r>
        <w:t xml:space="preserve">El </w:t>
      </w:r>
      <w:r>
        <w:rPr>
          <w:b/>
          <w:bCs/>
        </w:rPr>
        <w:t xml:space="preserve">EVA (Economic Value Added)</w:t>
      </w:r>
      <w:r>
        <w:t xml:space="preserve"> es la ganancia que queda </w:t>
      </w:r>
      <w:r>
        <w:rPr>
          <w:b/>
          <w:bCs/>
        </w:rPr>
        <w:t xml:space="preserve">después de remunerar a TODO el capital</w:t>
      </w:r>
      <w:r>
        <w:t xml:space="preserve"> a su costo de oportunidad (el WACC). La fórmula más reveladora es </w:t>
      </w:r>
      <w:r>
        <w:rPr>
          <w:b/>
          <w:bCs/>
        </w:rPr>
        <w:t xml:space="preserve">EVA = (ROIC − WACC) × Capital Invertido</w:t>
      </w:r>
      <w:r>
        <w:t xml:space="preserve">: el primer término es el </w:t>
      </w:r>
      <w:r>
        <w:rPr>
          <w:b/>
          <w:bCs/>
        </w:rPr>
        <w:t xml:space="preserve">spread económico</w:t>
      </w:r>
      <w:r>
        <w:t xml:space="preserve">; el segundo, la </w:t>
      </w:r>
      <w:r>
        <w:rPr>
          <w:b/>
          <w:bCs/>
        </w:rPr>
        <w:t xml:space="preserve">escala</w:t>
      </w:r>
      <w:r>
        <w:t xml:space="preserve">. Equivale a NOPAT − (Capital Invertido × WACC), donde ese cargo es lo mínimo que el capital debía rendir.</w:t>
      </w:r>
    </w:p>
    <w:p>
      <w:pPr>
        <w:spacing w:after="140" w:line="276"/>
      </w:pPr>
      <w:r>
        <w:t xml:space="preserve">La diferencia con la utilidad contable es radical. La contabilidad le cobra a la empresa el costo de la </w:t>
      </w:r>
      <w:r>
        <w:rPr>
          <w:b/>
          <w:bCs/>
        </w:rPr>
        <w:t xml:space="preserve">deuda</w:t>
      </w:r>
      <w:r>
        <w:t xml:space="preserve"> (los intereses), pero </w:t>
      </w:r>
      <w:r>
        <w:rPr>
          <w:b/>
          <w:bCs/>
        </w:rPr>
        <w:t xml:space="preserve">no le cobra el costo del patrimonio</w:t>
      </w:r>
      <w:r>
        <w:t xml:space="preserve">: trata la plata de los accionistas como si fuera gratis. El EVA corrige esa ceguera: le cobra a la empresa el costo de oportunidad de </w:t>
      </w:r>
      <w:r>
        <w:rPr>
          <w:b/>
          <w:bCs/>
        </w:rPr>
        <w:t xml:space="preserve">todo</w:t>
      </w:r>
      <w:r>
        <w:t xml:space="preserve"> el capital. Por eso una empresa puede tener utilidad contable positiva y EVA negativo: gana, pero gana </w:t>
      </w:r>
      <w:r>
        <w:rPr>
          <w:b/>
          <w:bCs/>
        </w:rPr>
        <w:t xml:space="preserve">menos de lo que el capital exige</w:t>
      </w:r>
      <w:r>
        <w:t xml:space="preserve">.</w:t>
      </w:r>
    </w:p>
    <w:p>
      <w:pPr>
        <w:spacing w:after="140" w:line="276"/>
      </w:pPr>
      <w:r>
        <w:t xml:space="preserve">En Andina es exactamente lo que pasa. Con un ROIC de </w:t>
      </w:r>
      <w:r>
        <w:rPr>
          <w:b/>
          <w:bCs/>
        </w:rPr>
        <w:t xml:space="preserve">~9,7%</w:t>
      </w:r>
      <w:r>
        <w:t xml:space="preserve">, un WACC de </w:t>
      </w:r>
      <w:r>
        <w:rPr>
          <w:b/>
          <w:bCs/>
        </w:rPr>
        <w:t xml:space="preserve">~21%</w:t>
      </w:r>
      <w:r>
        <w:t xml:space="preserve"> y un capital invertido de </w:t>
      </w:r>
      <w:r>
        <w:rPr>
          <w:b/>
          <w:bCs/>
        </w:rPr>
        <w:t xml:space="preserve">~5530</w:t>
      </w:r>
      <w:r>
        <w:t xml:space="preserve">, el EVA es (0,097 − 0,21) × 5530 ≈ </w:t>
      </w:r>
      <w:r>
        <w:rPr>
          <w:b/>
          <w:bCs/>
        </w:rPr>
        <w:t xml:space="preserve">−625</w:t>
      </w:r>
      <w:r>
        <w:t xml:space="preserve">. La empresa muestra utilidad neta de 175 en el balance, pero en términos económicos </w:t>
      </w:r>
      <w:r>
        <w:rPr>
          <w:b/>
          <w:bCs/>
        </w:rPr>
        <w:t xml:space="preserve">destruye unos 625</w:t>
      </w:r>
      <w:r>
        <w:t xml:space="preserve"> por año: no alcanza a cubrir el costo del capital que tiene puesto a trabajar.</w:t>
      </w:r>
    </w:p>
    <w:p>
      <w:pPr>
        <w:pStyle w:val="Heading2"/>
        <w:spacing w:after="100" w:before="220"/>
      </w:pPr>
      <w:r>
        <w:t xml:space="preserve">Para qué sirve y cómo usarlo</w:t>
      </w:r>
    </w:p>
    <w:p>
      <w:pPr>
        <w:spacing w:after="140" w:line="276"/>
      </w:pPr>
      <w:r>
        <w:t xml:space="preserve">El EVA </w:t>
      </w:r>
      <w:r>
        <w:rPr>
          <w:b/>
          <w:bCs/>
        </w:rPr>
        <w:t xml:space="preserve">alinea las decisiones con la creación de valor</w:t>
      </w:r>
      <w:r>
        <w:t xml:space="preserve">: no basta con tener utilidad, hay que ganar por encima del costo del capital. Es la base de muchos esquemas de </w:t>
      </w:r>
      <w:r>
        <w:rPr>
          <w:b/>
          <w:bCs/>
        </w:rPr>
        <w:t xml:space="preserve">compensación gerencial</w:t>
      </w:r>
      <w:r>
        <w:t xml:space="preserve"> (los bonus por EVA de Stern Stewart), porque internaliza el costo del capital en el management: el gerente deja de festejar ventas y empieza a cuidar el capital que consumen.</w:t>
      </w:r>
    </w:p>
    <w:p>
      <w:pPr>
        <w:spacing w:after="140" w:line="276"/>
      </w:pPr>
      <w:r>
        <w:t xml:space="preserve">La buena práctica es medir su </w:t>
      </w:r>
      <w:r>
        <w:rPr>
          <w:b/>
          <w:bCs/>
        </w:rPr>
        <w:t xml:space="preserve">evolución (ΔEVA)</w:t>
      </w:r>
      <w:r>
        <w:t xml:space="preserve"> más que su nivel, y aplicar ajustes contables solo cuando sean materiales. El EVA conecta directamente la operación (ROIC) con el mercado de capitales (WACC): es el spread medido en pesos, el puente entre lo que rinde la fábrica y lo que cuesta financiarla.</w:t>
      </w:r>
    </w:p>
    <w:p>
      <w:pPr>
        <w:pStyle w:val="Heading2"/>
        <w:spacing w:after="100" w:before="220"/>
      </w:pPr>
      <w:r>
        <w:t xml:space="preserve">Debilidades e interrelaciones</w:t>
      </w:r>
    </w:p>
    <w:p>
      <w:pPr>
        <w:spacing w:after="140" w:line="276"/>
      </w:pPr>
      <w:r>
        <w:rPr>
          <w:b/>
          <w:bCs/>
        </w:rPr>
        <w:t xml:space="preserve">Debilidad central:</w:t>
      </w:r>
      <w:r>
        <w:t xml:space="preserve"> el EVA es una métrica de </w:t>
      </w:r>
      <w:r>
        <w:rPr>
          <w:b/>
          <w:bCs/>
        </w:rPr>
        <w:t xml:space="preserve">un solo período</w:t>
      </w:r>
      <w:r>
        <w:t xml:space="preserve"> y penaliza las inversiones nuevas, que cargan capital hoy y rinden mañana (mismo sesgo del ROIC contra activos viejos vs. nuevos). Tampoco captura opciones de crecimiento ni valor estratégico futuro. Por eso se complementa con la mirada del RONIC (ítem 3) y la valuación por DCF.</w:t>
      </w:r>
    </w:p>
    <w:p>
      <w:pPr>
        <w:spacing w:after="140" w:line="276"/>
      </w:pPr>
      <w:r>
        <w:rPr>
          <w:b/>
          <w:bCs/>
        </w:rPr>
        <w:t xml:space="preserve">Interrelación clave:</w:t>
      </w:r>
      <w:r>
        <w:t xml:space="preserve"> la suma de los EVAs futuros descontados al WACC es el </w:t>
      </w:r>
      <w:r>
        <w:rPr>
          <w:b/>
          <w:bCs/>
        </w:rPr>
        <w:t xml:space="preserve">MVA (Market Value Added)</w:t>
      </w:r>
      <w:r>
        <w:t xml:space="preserve">, y MVA + capital invertido ≈ valor de la firma. El EVA es la pieza que monetiza el spread ROIC − WACC y lo convierte en la unidad de cuenta de toda la creación de valor (Semana 12).</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ROIC</w:t>
            </w:r>
          </w:p>
        </w:tc>
        <w:tc>
          <w:p>
            <w:pPr>
              <w:jc w:val="right"/>
            </w:pPr>
            <w:r>
              <w:rPr>
                <w:sz w:val="18"/>
                <w:szCs w:val="18"/>
              </w:rPr>
              <w:t xml:space="preserve">0.097</w:t>
            </w:r>
          </w:p>
        </w:tc>
      </w:tr>
      <w:tr>
        <w:tc>
          <w:p>
            <w:pPr>
              <w:jc w:val="left"/>
            </w:pPr>
            <w:r>
              <w:rPr>
                <w:sz w:val="18"/>
                <w:szCs w:val="18"/>
              </w:rPr>
              <w:t xml:space="preserve">WACC</w:t>
            </w:r>
          </w:p>
        </w:tc>
        <w:tc>
          <w:p>
            <w:pPr>
              <w:jc w:val="right"/>
            </w:pPr>
            <w:r>
              <w:rPr>
                <w:sz w:val="18"/>
                <w:szCs w:val="18"/>
              </w:rPr>
              <w:t xml:space="preserve">0.21</w:t>
            </w:r>
          </w:p>
        </w:tc>
      </w:tr>
      <w:tr>
        <w:tc>
          <w:p>
            <w:pPr>
              <w:jc w:val="left"/>
            </w:pPr>
            <w:r>
              <w:rPr>
                <w:sz w:val="18"/>
                <w:szCs w:val="18"/>
              </w:rPr>
              <w:t xml:space="preserve">Capital invertido</w:t>
            </w:r>
          </w:p>
        </w:tc>
        <w:tc>
          <w:p>
            <w:pPr>
              <w:jc w:val="right"/>
            </w:pPr>
            <w:r>
              <w:rPr>
                <w:sz w:val="18"/>
                <w:szCs w:val="18"/>
              </w:rPr>
              <w:t xml:space="preserve">5530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Spread (ROIC − WACC)</w:t>
            </w:r>
          </w:p>
        </w:tc>
        <w:tc>
          <w:p>
            <w:pPr>
              <w:jc w:val="right"/>
            </w:pPr>
            <w:r>
              <w:rPr>
                <w:sz w:val="18"/>
                <w:szCs w:val="18"/>
              </w:rPr>
              <w:t xml:space="preserve">roic-wacc</w:t>
            </w:r>
          </w:p>
        </w:tc>
      </w:tr>
      <w:tr>
        <w:tc>
          <w:p>
            <w:pPr>
              <w:jc w:val="left"/>
            </w:pPr>
            <w:r>
              <w:rPr>
                <w:sz w:val="18"/>
                <w:szCs w:val="18"/>
              </w:rPr>
              <w:t xml:space="preserve">Cargo por el capital (WACC × Capital)</w:t>
            </w:r>
          </w:p>
        </w:tc>
        <w:tc>
          <w:p>
            <w:pPr>
              <w:jc w:val="right"/>
            </w:pPr>
            <w:r>
              <w:rPr>
                <w:sz w:val="18"/>
                <w:szCs w:val="18"/>
              </w:rPr>
              <w:t xml:space="preserve">wacc*capInv</w:t>
            </w:r>
          </w:p>
        </w:tc>
      </w:tr>
      <w:tr>
        <w:tc>
          <w:p>
            <w:pPr>
              <w:jc w:val="left"/>
            </w:pPr>
            <w:r>
              <w:rPr>
                <w:sz w:val="18"/>
                <w:szCs w:val="18"/>
              </w:rPr>
              <w:t xml:space="preserve">EVA</w:t>
            </w:r>
          </w:p>
        </w:tc>
        <w:tc>
          <w:p>
            <w:pPr>
              <w:jc w:val="right"/>
            </w:pPr>
            <w:r>
              <w:rPr>
                <w:sz w:val="18"/>
                <w:szCs w:val="18"/>
              </w:rPr>
              <w:t xml:space="preserve">(roic-wacc)*capInv</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2026-06-24T11:50:52.245Z</dcterms:created>
  <dcterms:modified xsi:type="dcterms:W3CDTF">2026-06-24T11:50:52.245Z</dcterms:modified>
</cp:coreProperties>
</file>

<file path=docProps/custom.xml><?xml version="1.0" encoding="utf-8"?>
<Properties xmlns="http://schemas.openxmlformats.org/officeDocument/2006/custom-properties" xmlns:vt="http://schemas.openxmlformats.org/officeDocument/2006/docPropsVTypes"/>
</file>