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4</w:t>
      </w:r>
    </w:p>
    <w:p>
      <w:pPr>
        <w:pStyle w:val="Title"/>
        <w:spacing w:after="40"/>
      </w:pPr>
      <w:r>
        <w:t xml:space="preserve">Ítem 2. El spread de valor: ROIC − WACC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El corazón de la creación de valor, antes de la escala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McKinsey · spread económico</w:t>
      </w:r>
    </w:p>
    <w:p>
      <w:pPr>
        <w:pStyle w:val="Heading2"/>
        <w:spacing w:after="100" w:before="220"/>
      </w:pPr>
      <w:r>
        <w:t xml:space="preserve">El número que decide todo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spread de valor</w:t>
      </w:r>
      <w:r>
        <w:t xml:space="preserve"> es la diferencia </w:t>
      </w:r>
      <w:r>
        <w:rPr>
          <w:b/>
          <w:bCs/>
        </w:rPr>
        <w:t xml:space="preserve">ROIC − WACC</w:t>
      </w:r>
      <w:r>
        <w:t xml:space="preserve">: cuánto rinde el capital por encima (o por debajo) de lo que cuesta. Es el corazón de la creación de valor, </w:t>
      </w:r>
      <w:r>
        <w:rPr>
          <w:b/>
          <w:bCs/>
        </w:rPr>
        <w:t xml:space="preserve">antes</w:t>
      </w:r>
      <w:r>
        <w:t xml:space="preserve"> de multiplicar por la escala (el capital invertido). Si el spread es positivo, cada peso invertido crea valor; si es negativo, cada peso lo destruye. El EVA (ítem 1) es simplemente este spread llevado a pesos.</w:t>
      </w:r>
    </w:p>
    <w:p>
      <w:pPr>
        <w:spacing w:after="140" w:line="276"/>
      </w:pPr>
      <w:r>
        <w:t xml:space="preserve">La belleza del spread es que </w:t>
      </w:r>
      <w:r>
        <w:rPr>
          <w:b/>
          <w:bCs/>
        </w:rPr>
        <w:t xml:space="preserve">separa la rentabilidad de la decisión de financiación</w:t>
      </w:r>
      <w:r>
        <w:t xml:space="preserve">. El ROIC mide qué rinde el negocio operativamente; el WACC, cuánto cuesta el capital con todo el riesgo país y de tamaño adentro (Semana 9). El spread los enfrenta cara a cara. En Andina: 9,7% − 21% = </w:t>
      </w:r>
      <w:r>
        <w:rPr>
          <w:b/>
          <w:bCs/>
        </w:rPr>
        <w:t xml:space="preserve">−11,3 puntos</w:t>
      </w:r>
      <w:r>
        <w:t xml:space="preserve">. Un spread profundamente negativo, la firma de la destrucción de valor.</w:t>
      </w:r>
    </w:p>
    <w:p>
      <w:pPr>
        <w:spacing w:after="140" w:line="276"/>
      </w:pPr>
      <w:r>
        <w:t xml:space="preserve">Acá está la regla que ordena todo el programa: </w:t>
      </w:r>
      <w:r>
        <w:rPr>
          <w:b/>
          <w:bCs/>
        </w:rPr>
        <w:t xml:space="preserve">spread positivo → crear valor → conviene invertir y crecer; spread negativo → destruir valor → crecer empeora las cosas</w:t>
      </w:r>
      <w:r>
        <w:t xml:space="preserve">. El crecimiento no crea valor por sí mismo: es un </w:t>
      </w:r>
      <w:r>
        <w:rPr>
          <w:b/>
          <w:bCs/>
        </w:rPr>
        <w:t xml:space="preserve">multiplicador del spread</w:t>
      </w:r>
      <w:r>
        <w:t xml:space="preserve">. Si el spread es negativo, crecer significa destruir valor más rápido.</w:t>
      </w:r>
    </w:p>
    <w:p>
      <w:pPr>
        <w:pStyle w:val="Heading2"/>
        <w:spacing w:after="100" w:before="220"/>
      </w:pPr>
      <w:r>
        <w:t xml:space="preserve">Por qué un punto importa tanto en emergentes</w:t>
      </w:r>
    </w:p>
    <w:p>
      <w:pPr>
        <w:spacing w:after="140" w:line="276"/>
      </w:pPr>
      <w:r>
        <w:t xml:space="preserve">El spread es </w:t>
      </w:r>
      <w:r>
        <w:rPr>
          <w:b/>
          <w:bCs/>
        </w:rPr>
        <w:t xml:space="preserve">brutalmente sensible</w:t>
      </w:r>
      <w:r>
        <w:t xml:space="preserve"> al WACC, y el WACC en mercados emergentes es alto y volátil por el riesgo país. Un mismo negocio con ROIC del 12% </w:t>
      </w:r>
      <w:r>
        <w:rPr>
          <w:b/>
          <w:bCs/>
        </w:rPr>
        <w:t xml:space="preserve">crea valor</w:t>
      </w:r>
      <w:r>
        <w:t xml:space="preserve"> en Estados Unidos (WACC ~8%) y </w:t>
      </w:r>
      <w:r>
        <w:rPr>
          <w:b/>
          <w:bCs/>
        </w:rPr>
        <w:t xml:space="preserve">destruye valor</w:t>
      </w:r>
      <w:r>
        <w:t xml:space="preserve"> en Argentina (WACC 21%+). El flujo operativo es idéntico; lo que cambia el veredicto es la tasa de corte.</w:t>
      </w:r>
    </w:p>
    <w:p>
      <w:pPr>
        <w:spacing w:after="140" w:line="276"/>
      </w:pPr>
      <w:r>
        <w:t xml:space="preserve">Por eso un error de estimación del WACC —fácil de cometer con el doble conteo del riesgo país— puede dar vuelta el signo del spread y "fabricar" destrucción de valor donde no la hay, o esconderla donde sí la hay. Un WACC subestimado fabrica spread positivo falso; uno sobreestimado frena inversión sana.</w:t>
      </w:r>
    </w:p>
    <w:p>
      <w:pPr>
        <w:pStyle w:val="Heading2"/>
        <w:spacing w:after="100" w:before="220"/>
      </w:pPr>
      <w:r>
        <w:t xml:space="preserve">Interrelaciones: SI y DÓNDE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el spread responde </w:t>
      </w:r>
      <w:r>
        <w:rPr>
          <w:b/>
          <w:bCs/>
        </w:rPr>
        <w:t xml:space="preserve">SI</w:t>
      </w:r>
      <w:r>
        <w:t xml:space="preserve"> se crea o destruye valor; el </w:t>
      </w:r>
      <w:r>
        <w:rPr>
          <w:b/>
          <w:bCs/>
        </w:rPr>
        <w:t xml:space="preserve">DuPont</w:t>
      </w:r>
      <w:r>
        <w:t xml:space="preserve"> (Semana 3) responde </w:t>
      </w:r>
      <w:r>
        <w:rPr>
          <w:b/>
          <w:bCs/>
        </w:rPr>
        <w:t xml:space="preserve">DÓNDE</w:t>
      </w:r>
      <w:r>
        <w:t xml:space="preserve"> está la palanca: margen, rotación o estructura. Es el primer cruce del tablero de diagnóstico. En Andina el spread negativo grita "hay un problema", y el DuPont localiza que está en el costo financiero y en la rotación, no en el margen.</w:t>
      </w:r>
    </w:p>
    <w:p>
      <w:pPr>
        <w:spacing w:after="140" w:line="276"/>
      </w:pPr>
      <w:r>
        <w:t xml:space="preserve">El spread también gobierna la </w:t>
      </w:r>
      <w:r>
        <w:rPr>
          <w:b/>
          <w:bCs/>
        </w:rPr>
        <w:t xml:space="preserve">escala correcta</w:t>
      </w:r>
      <w:r>
        <w:t xml:space="preserve">: con spread positivo, conviene invertir más capital (subir la escala del EVA); con spread negativo, conviene </w:t>
      </w:r>
      <w:r>
        <w:rPr>
          <w:b/>
          <w:bCs/>
        </w:rPr>
        <w:t xml:space="preserve">desinvertir</w:t>
      </w:r>
      <w:r>
        <w:t xml:space="preserve"> y achicar el capital empleado. La empresa que destruye valor no tiene que crecer: tiene que primero cerrar el spread.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ROIC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0.097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WACC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0.21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Capital invertido (escala)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5530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Spread (ROIC − WACC)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roic-wacc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Valor creado/destruido (spread × capital)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spread*capInv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2026-06-24T11:50:52.268Z</dcterms:created>
  <dcterms:modified xsi:type="dcterms:W3CDTF">2026-06-24T11:50:52.268Z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