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18"/>
          <w:szCs w:val="18"/>
        </w:rPr>
        <w:t xml:space="preserve">ACADEMIA FC + IA · Semana 4</w:t>
      </w:r>
    </w:p>
    <w:p>
      <w:pPr>
        <w:pStyle w:val="Title"/>
        <w:spacing w:after="40"/>
      </w:pPr>
      <w:r>
        <w:t xml:space="preserve">Ítem 3. RONIC: el retorno del capital NUEVO</w:t>
      </w:r>
    </w:p>
    <w:p>
      <w:pPr>
        <w:spacing w:after="40"/>
      </w:pPr>
      <w:r>
        <w:rPr>
          <w:i/>
          <w:iCs/>
          <w:color w:val="555555"/>
          <w:sz w:val="22"/>
          <w:szCs w:val="22"/>
        </w:rPr>
        <w:t xml:space="preserve">El parabrisas, no el espejo retrovisor</w:t>
      </w:r>
    </w:p>
    <w:p>
      <w:pPr>
        <w:spacing w:after="160"/>
      </w:pPr>
      <w:r>
        <w:rPr>
          <w:b/>
          <w:bCs/>
          <w:color w:val="94741F"/>
          <w:sz w:val="18"/>
          <w:szCs w:val="18"/>
        </w:rPr>
        <w:t xml:space="preserve">Marco: McKinsey · RONIC</w:t>
      </w:r>
    </w:p>
    <w:p>
      <w:pPr>
        <w:pStyle w:val="Heading2"/>
        <w:spacing w:after="100" w:before="220"/>
      </w:pPr>
      <w:r>
        <w:t xml:space="preserve">Lo marginal, no lo histórico</w:t>
      </w:r>
    </w:p>
    <w:p>
      <w:pPr>
        <w:spacing w:after="140" w:line="276"/>
      </w:pPr>
      <w:r>
        <w:t xml:space="preserve">El </w:t>
      </w:r>
      <w:r>
        <w:rPr>
          <w:b/>
          <w:bCs/>
        </w:rPr>
        <w:t xml:space="preserve">RONIC (Return on New Invested Capital)</w:t>
      </w:r>
      <w:r>
        <w:t xml:space="preserve"> mide el retorno sobre el capital </w:t>
      </w:r>
      <w:r>
        <w:rPr>
          <w:b/>
          <w:bCs/>
        </w:rPr>
        <w:t xml:space="preserve">incremental</w:t>
      </w:r>
      <w:r>
        <w:t xml:space="preserve"> —el capital nuevo— que la empresa pone a trabajar en un período. El ROIC mide el retorno sobre </w:t>
      </w:r>
      <w:r>
        <w:rPr>
          <w:b/>
          <w:bCs/>
        </w:rPr>
        <w:t xml:space="preserve">todo</w:t>
      </w:r>
      <w:r>
        <w:t xml:space="preserve"> el stock de capital acumulado a lo largo de su historia. El ROIC mira el </w:t>
      </w:r>
      <w:r>
        <w:rPr>
          <w:b/>
          <w:bCs/>
        </w:rPr>
        <w:t xml:space="preserve">espejo retrovisor</w:t>
      </w:r>
      <w:r>
        <w:t xml:space="preserve">; el RONIC mira el </w:t>
      </w:r>
      <w:r>
        <w:rPr>
          <w:b/>
          <w:bCs/>
        </w:rPr>
        <w:t xml:space="preserve">parabrisas</w:t>
      </w:r>
      <w:r>
        <w:t xml:space="preserve">. La fórmula es </w:t>
      </w:r>
      <w:r>
        <w:rPr>
          <w:b/>
          <w:bCs/>
        </w:rPr>
        <w:t xml:space="preserve">RONIC = ΔNOPAT / ΔCapital Invertido</w:t>
      </w:r>
      <w:r>
        <w:t xml:space="preserve">.</w:t>
      </w:r>
    </w:p>
    <w:p>
      <w:pPr>
        <w:spacing w:after="140" w:line="276"/>
      </w:pPr>
      <w:r>
        <w:t xml:space="preserve">La distinción es filosa. Una empresa puede tener un ROIC histórico </w:t>
      </w:r>
      <w:r>
        <w:rPr>
          <w:b/>
          <w:bCs/>
        </w:rPr>
        <w:t xml:space="preserve">altísimo</w:t>
      </w:r>
      <w:r>
        <w:t xml:space="preserve"> —heredado de inversiones viejas hechas cuando tenía una ventaja competitiva que la competencia todavía no erosionó— y a la vez un RONIC </w:t>
      </w:r>
      <w:r>
        <w:rPr>
          <w:b/>
          <w:bCs/>
        </w:rPr>
        <w:t xml:space="preserve">bajo</w:t>
      </w:r>
      <w:r>
        <w:t xml:space="preserve">, porque los proyectos nuevos ya enfrentan competencia plena y rinden mucho menos. El ROIC dice "¿qué rinde, en promedio, todo lo que tengo invertido?"; el RONIC, la pregunta del CEO: "¿qué rinde el </w:t>
      </w:r>
      <w:r>
        <w:rPr>
          <w:b/>
          <w:bCs/>
        </w:rPr>
        <w:t xml:space="preserve">próximo peso</w:t>
      </w:r>
      <w:r>
        <w:t xml:space="preserve"> que invierto?".</w:t>
      </w:r>
    </w:p>
    <w:p>
      <w:pPr>
        <w:spacing w:after="140" w:line="276"/>
      </w:pPr>
      <w:r>
        <w:t xml:space="preserve">Por eso el RONIC es el indicador más accionable para decisiones de inversión. Para Andina, que evalúa si vale la pena seguir poniendo capital en la planta, el ROIC histórico es casi irrelevante: lo que importa es el RONIC de los proyectos nuevos contra el WACC.</w:t>
      </w:r>
    </w:p>
    <w:p>
      <w:pPr>
        <w:pStyle w:val="Heading2"/>
        <w:spacing w:after="100" w:before="220"/>
      </w:pPr>
      <w:r>
        <w:t xml:space="preserve">La identidad de crecimiento</w:t>
      </w:r>
    </w:p>
    <w:p>
      <w:pPr>
        <w:spacing w:after="140" w:line="276"/>
      </w:pPr>
      <w:r>
        <w:t xml:space="preserve">El RONIC entra en el corazón del modelo de valor a través de la </w:t>
      </w:r>
      <w:r>
        <w:rPr>
          <w:b/>
          <w:bCs/>
        </w:rPr>
        <w:t xml:space="preserve">identidad de crecimiento</w:t>
      </w:r>
      <w:r>
        <w:t xml:space="preserve">: </w:t>
      </w:r>
      <w:r>
        <w:rPr>
          <w:b/>
          <w:bCs/>
        </w:rPr>
        <w:t xml:space="preserve">g = RONIC × IR</w:t>
      </w:r>
      <w:r>
        <w:t xml:space="preserve">, donde g es la tasa de crecimiento del NOPAT e IR es la tasa de reinversión (= Inversión neta / NOPAT). Despejando, IR = g / RONIC: cuánto NOPAT hay que reinvertir para sostener el crecimiento g.</w:t>
      </w:r>
    </w:p>
    <w:p>
      <w:pPr>
        <w:spacing w:after="140" w:line="276"/>
      </w:pPr>
      <w:r>
        <w:t xml:space="preserve">Cuanto </w:t>
      </w:r>
      <w:r>
        <w:rPr>
          <w:b/>
          <w:bCs/>
        </w:rPr>
        <w:t xml:space="preserve">más alto</w:t>
      </w:r>
      <w:r>
        <w:t xml:space="preserve"> el RONIC, </w:t>
      </w:r>
      <w:r>
        <w:rPr>
          <w:b/>
          <w:bCs/>
        </w:rPr>
        <w:t xml:space="preserve">menos capital</w:t>
      </w:r>
      <w:r>
        <w:t xml:space="preserve"> necesitás reinvertir para crecer al mismo ritmo, y más caja libre te queda. Una empresa con RONIC alto crece "barato"; una con RONIC bajo tiene que reinvertir casi todo su NOPAT solo para sostener el mismo crecimiento, y no le queda caja para los accionistas. El RONIC gobierna cuánto FCFF sobrevive después de financiar el crecimiento (ítem 4).</w:t>
      </w:r>
    </w:p>
    <w:p>
      <w:pPr>
        <w:pStyle w:val="Heading2"/>
        <w:spacing w:after="100" w:before="220"/>
      </w:pPr>
      <w:r>
        <w:t xml:space="preserve">Estimación, valor terminal e interrelaciones</w:t>
      </w:r>
    </w:p>
    <w:p>
      <w:pPr>
        <w:spacing w:after="140" w:line="276"/>
      </w:pPr>
      <w:r>
        <w:rPr>
          <w:b/>
          <w:bCs/>
        </w:rPr>
        <w:t xml:space="preserve">Cómo se estima:</w:t>
      </w:r>
      <w:r>
        <w:t xml:space="preserve"> de forma histórica incremental (ΔNOPAT/ΔCapital, el más directo pero ruidoso —promediá varios años—), forward-looking por cartera de proyectos (el más prolijo), o implícito en supuestos de continuidad. </w:t>
      </w:r>
      <w:r>
        <w:rPr>
          <w:b/>
          <w:bCs/>
        </w:rPr>
        <w:t xml:space="preserve">Uso crítico en el valor terminal:</w:t>
      </w:r>
      <w:r>
        <w:t xml:space="preserve"> el error clásico es proyectar la perpetuidad con el ROIC histórico alto; pero la competencia erosiona los retornos excedentes, y el RONIC de largo plazo hace </w:t>
      </w:r>
      <w:r>
        <w:rPr>
          <w:i/>
          <w:iCs/>
        </w:rPr>
        <w:t xml:space="preserve">fade</w:t>
      </w:r>
      <w:r>
        <w:t xml:space="preserve"> hacia el WACC. McKinsey recomienda asumir RONIC = WACC en la continuidad de industrias maduras.</w:t>
      </w:r>
    </w:p>
    <w:p>
      <w:pPr>
        <w:spacing w:after="140" w:line="276"/>
      </w:pPr>
      <w:r>
        <w:rPr>
          <w:b/>
          <w:bCs/>
        </w:rPr>
        <w:t xml:space="preserve">Interrelación clave:</w:t>
      </w:r>
      <w:r>
        <w:t xml:space="preserve"> el RONIC gobierna la </w:t>
      </w:r>
      <w:r>
        <w:rPr>
          <w:b/>
          <w:bCs/>
        </w:rPr>
        <w:t xml:space="preserve">política de dividendos</w:t>
      </w:r>
      <w:r>
        <w:t xml:space="preserve"> (ítem 5: reinvertir si RONIC &gt; WACC, distribuir si no), el </w:t>
      </w:r>
      <w:r>
        <w:rPr>
          <w:b/>
          <w:bCs/>
        </w:rPr>
        <w:t xml:space="preserve">valor del crecimiento</w:t>
      </w:r>
      <w:r>
        <w:t xml:space="preserve"> (ítem 4: la KVD) y la </w:t>
      </w:r>
      <w:r>
        <w:rPr>
          <w:b/>
          <w:bCs/>
        </w:rPr>
        <w:t xml:space="preserve">asignación de capital</w:t>
      </w:r>
      <w:r>
        <w:t xml:space="preserve"> por unidad de negocio. En Andina, restricciones cambiarias mediante, la regla teórica se ajusta: a veces conviene reinvertir aun con RONIC marginal bajo si la alternativa es dejar caja licuándose.</w:t>
      </w:r>
    </w:p>
    <w:p>
      <w:pPr>
        <w:pStyle w:val="Heading2"/>
        <w:spacing w:after="100" w:before="220"/>
      </w:pPr>
      <w:r>
        <w:t xml:space="preserve">El modelo: variables y fórmulas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Variable de entrada</w:t>
            </w:r>
          </w:p>
        </w:tc>
        <w:tc>
          <w:tcPr>
            <w:shd w:fill="0B1120" w:color="0B1120" w:val="solid"/>
          </w:tcPr>
          <w:p>
            <w:r>
              <w:rPr>
                <w:b/>
                <w:bCs/>
                <w:color w:val="FFFFFF"/>
                <w:sz w:val="18"/>
                <w:szCs w:val="18"/>
              </w:rPr>
              <w:t xml:space="preserve">Valor base</w:t>
            </w:r>
          </w:p>
        </w:tc>
      </w:tr>
      <w:tr>
        <w:tc>
          <w:p>
            <w:pPr>
              <w:jc w:val="left"/>
            </w:pPr>
            <w:r>
              <w:rPr>
                <w:sz w:val="18"/>
                <w:szCs w:val="18"/>
              </w:rPr>
              <w:t xml:space="preserve">ΔNOPAT (aumento de NOPAT)</w:t>
            </w:r>
          </w:p>
        </w:tc>
        <w:tc>
          <w:p>
            <w:pPr>
              <w:jc w:val="right"/>
            </w:pPr>
            <w:r>
              <w:rPr>
                <w:sz w:val="18"/>
                <w:szCs w:val="18"/>
              </w:rPr>
              <w:t xml:space="preserve">36</w:t>
            </w:r>
          </w:p>
        </w:tc>
      </w:tr>
      <w:tr>
        <w:tc>
          <w:p>
            <w:pPr>
              <w:jc w:val="left"/>
            </w:pPr>
            <w:r>
              <w:rPr>
                <w:sz w:val="18"/>
                <w:szCs w:val="18"/>
              </w:rPr>
              <w:t xml:space="preserve">Inversión neta del período (ΔCapital)</w:t>
            </w:r>
          </w:p>
        </w:tc>
        <w:tc>
          <w:p>
            <w:pPr>
              <w:jc w:val="right"/>
            </w:pPr>
            <w:r>
              <w:rPr>
                <w:sz w:val="18"/>
                <w:szCs w:val="18"/>
              </w:rPr>
              <w:t xml:space="preserve">300</w:t>
            </w:r>
          </w:p>
        </w:tc>
      </w:tr>
      <w:tr>
        <w:tc>
          <w:p>
            <w:pPr>
              <w:jc w:val="left"/>
            </w:pPr>
            <w:r>
              <w:rPr>
                <w:sz w:val="18"/>
                <w:szCs w:val="18"/>
              </w:rPr>
              <w:t xml:space="preserve">WACC</w:t>
            </w:r>
          </w:p>
        </w:tc>
        <w:tc>
          <w:p>
            <w:pPr>
              <w:jc w:val="right"/>
            </w:pPr>
            <w:r>
              <w:rPr>
                <w:sz w:val="18"/>
                <w:szCs w:val="18"/>
              </w:rPr>
              <w:t xml:space="preserve">0.21</w:t>
            </w:r>
          </w:p>
        </w:tc>
      </w:tr>
    </w:tbl>
    <w:p>
      <w:pPr>
        <w:spacing w:after="10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Indicador calculado</w:t>
            </w:r>
          </w:p>
        </w:tc>
        <w:tc>
          <w:tcPr>
            <w:shd w:fill="0B1120" w:color="0B1120" w:val="solid"/>
          </w:tcPr>
          <w:p>
            <w:r>
              <w:rPr>
                <w:b/>
                <w:bCs/>
                <w:color w:val="FFFFFF"/>
                <w:sz w:val="18"/>
                <w:szCs w:val="18"/>
              </w:rPr>
              <w:t xml:space="preserve">Fórmula</w:t>
            </w:r>
          </w:p>
        </w:tc>
      </w:tr>
      <w:tr>
        <w:tc>
          <w:p>
            <w:pPr>
              <w:jc w:val="left"/>
            </w:pPr>
            <w:r>
              <w:rPr>
                <w:sz w:val="18"/>
                <w:szCs w:val="18"/>
              </w:rPr>
              <w:t xml:space="preserve">RONIC</w:t>
            </w:r>
          </w:p>
        </w:tc>
        <w:tc>
          <w:p>
            <w:pPr>
              <w:jc w:val="right"/>
            </w:pPr>
            <w:r>
              <w:rPr>
                <w:sz w:val="18"/>
                <w:szCs w:val="18"/>
              </w:rPr>
              <w:t xml:space="preserve">deltaNopat/deltaCap</w:t>
            </w:r>
          </w:p>
        </w:tc>
      </w:tr>
      <w:tr>
        <w:tc>
          <w:p>
            <w:pPr>
              <w:jc w:val="left"/>
            </w:pPr>
            <w:r>
              <w:rPr>
                <w:sz w:val="18"/>
                <w:szCs w:val="18"/>
              </w:rPr>
              <w:t xml:space="preserve">Spread del capital nuevo (RONIC − WACC)</w:t>
            </w:r>
          </w:p>
        </w:tc>
        <w:tc>
          <w:p>
            <w:pPr>
              <w:jc w:val="right"/>
            </w:pPr>
            <w:r>
              <w:rPr>
                <w:sz w:val="18"/>
                <w:szCs w:val="18"/>
              </w:rPr>
              <w:t xml:space="preserve">ronic-wacc</w:t>
            </w:r>
          </w:p>
        </w:tc>
      </w:tr>
    </w:tbl>
    <w:p>
      <w:pPr>
        <w:spacing w:before="160"/>
      </w:pPr>
      <w:r>
        <w:t xml:space="preserve">Abrí el </w:t>
      </w:r>
      <w:r>
        <w:rPr>
          <w:b/>
          <w:bCs/>
        </w:rPr>
        <w:t xml:space="preserve">modelo interactivo</w:t>
      </w:r>
      <w:r>
        <w:t xml:space="preserve"> de este ítem en la plataforma para mover las variables en vivo, y usá el Excel para construir tu propio caso con matrices dinámicas.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36"/>
      <w:szCs w:val="36"/>
    </w:rPr>
  </w:style>
  <w:style w:type="paragraph" w:styleId="Heading2">
    <w:name w:val="Heading 2"/>
    <w:pPr>
      <w:spacing w:after="100" w:before="200"/>
    </w:pPr>
    <w:rPr>
      <w:b/>
      <w:bCs/>
      <w:color w:val="9474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2026-06-24T11:50:52.283Z</dcterms:created>
  <dcterms:modified xsi:type="dcterms:W3CDTF">2026-06-24T11:50:52.283Z</dcterms:modified>
</cp:coreProperties>
</file>

<file path=docProps/custom.xml><?xml version="1.0" encoding="utf-8"?>
<Properties xmlns="http://schemas.openxmlformats.org/officeDocument/2006/custom-properties" xmlns:vt="http://schemas.openxmlformats.org/officeDocument/2006/docPropsVTypes"/>
</file>