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D4AF37"/>
          <w:sz w:val="18"/>
          <w:szCs w:val="18"/>
        </w:rPr>
        <w:t xml:space="preserve">ACADEMIA FC + IA · Semana 4</w:t>
      </w:r>
    </w:p>
    <w:p>
      <w:pPr>
        <w:pStyle w:val="Title"/>
        <w:spacing w:after="40"/>
      </w:pPr>
      <w:r>
        <w:t xml:space="preserve">Ítem 4. Key Value Driver: cuánto vale crecer</w:t>
      </w:r>
    </w:p>
    <w:p>
      <w:pPr>
        <w:spacing w:after="40"/>
      </w:pPr>
      <w:r>
        <w:rPr>
          <w:i/>
          <w:iCs/>
          <w:color w:val="555555"/>
          <w:sz w:val="22"/>
          <w:szCs w:val="22"/>
        </w:rPr>
        <w:t xml:space="preserve">La fórmula de McKinsey que une rentabilidad, crecimiento y costo del capital</w:t>
      </w:r>
    </w:p>
    <w:p>
      <w:pPr>
        <w:spacing w:after="160"/>
      </w:pPr>
      <w:r>
        <w:rPr>
          <w:b/>
          <w:bCs/>
          <w:color w:val="94741F"/>
          <w:sz w:val="18"/>
          <w:szCs w:val="18"/>
        </w:rPr>
        <w:t xml:space="preserve">Marco: McKinsey · Key Value Driver (KVD)</w:t>
      </w:r>
    </w:p>
    <w:p>
      <w:pPr>
        <w:pStyle w:val="Heading2"/>
        <w:spacing w:after="100" w:before="220"/>
      </w:pPr>
      <w:r>
        <w:t xml:space="preserve">Una sola ecuación que ata todo</w:t>
      </w:r>
    </w:p>
    <w:p>
      <w:pPr>
        <w:spacing w:after="140" w:line="276"/>
      </w:pPr>
      <w:r>
        <w:t xml:space="preserve">El </w:t>
      </w:r>
      <w:r>
        <w:rPr>
          <w:b/>
          <w:bCs/>
        </w:rPr>
        <w:t xml:space="preserve">Key Value Driver (KVD)</w:t>
      </w:r>
      <w:r>
        <w:t xml:space="preserve"> de McKinsey es la ecuación que une, en una sola línea, rentabilidad, crecimiento y costo del capital: </w:t>
      </w:r>
      <w:r>
        <w:rPr>
          <w:b/>
          <w:bCs/>
        </w:rPr>
        <w:t xml:space="preserve">Valor = NOPAT × (1 − g/RONIC) / (WACC − g)</w:t>
      </w:r>
      <w:r>
        <w:t xml:space="preserve">. Es la fórmula que reemplaza a la perpetuidad ingenua (NOPAT/WACC) cuando la empresa crece, y es también la fórmula del </w:t>
      </w:r>
      <w:r>
        <w:rPr>
          <w:b/>
          <w:bCs/>
        </w:rPr>
        <w:t xml:space="preserve">valor terminal</w:t>
      </w:r>
      <w:r>
        <w:t xml:space="preserve"> en cualquier DCF.</w:t>
      </w:r>
    </w:p>
    <w:p>
      <w:pPr>
        <w:spacing w:after="140" w:line="276"/>
      </w:pPr>
      <w:r>
        <w:t xml:space="preserve">El término </w:t>
      </w:r>
      <w:r>
        <w:rPr>
          <w:b/>
          <w:bCs/>
        </w:rPr>
        <w:t xml:space="preserve">(1 − g/RONIC)</w:t>
      </w:r>
      <w:r>
        <w:t xml:space="preserve"> es la clave: es la fracción del NOPAT que </w:t>
      </w:r>
      <w:r>
        <w:rPr>
          <w:b/>
          <w:bCs/>
        </w:rPr>
        <w:t xml:space="preserve">NO</w:t>
      </w:r>
      <w:r>
        <w:t xml:space="preserve"> necesitás reinvertir para sostener el crecimiento g, o sea el </w:t>
      </w:r>
      <w:r>
        <w:rPr>
          <w:b/>
          <w:bCs/>
        </w:rPr>
        <w:t xml:space="preserve">FCFF como porcentaje del NOPAT</w:t>
      </w:r>
      <w:r>
        <w:t xml:space="preserve">. Sale de la identidad g = RONIC × IR, que implica IR = g/RONIC, y como (1 − g/RONIC) = (1 − IR), ese término es la caja libre que queda después de financiar el crecimiento. Cuanto más alto el RONIC, menos reinvertís y más caja libre te queda.</w:t>
      </w:r>
    </w:p>
    <w:p>
      <w:pPr>
        <w:spacing w:after="140" w:line="276"/>
      </w:pPr>
      <w:r>
        <w:t xml:space="preserve">El denominador </w:t>
      </w:r>
      <w:r>
        <w:rPr>
          <w:b/>
          <w:bCs/>
        </w:rPr>
        <w:t xml:space="preserve">(WACC − g)</w:t>
      </w:r>
      <w:r>
        <w:t xml:space="preserve"> es la perpetuidad: cuando WACC y g están cerca, el denominador se achica y el valor se dispara o se derrumba con cambios mínimos. Por eso la KVD es a la vez la herramienta más poderosa y la más sensible de la valuación.</w:t>
      </w:r>
    </w:p>
    <w:p>
      <w:pPr>
        <w:pStyle w:val="Heading2"/>
        <w:spacing w:after="100" w:before="220"/>
      </w:pPr>
      <w:r>
        <w:t xml:space="preserve">La demostración que cambia la cabeza</w:t>
      </w:r>
    </w:p>
    <w:p>
      <w:pPr>
        <w:spacing w:after="140" w:line="276"/>
      </w:pPr>
      <w:r>
        <w:t xml:space="preserve">Acá está el teorema que ordena toda la asignación de capital. Poné </w:t>
      </w:r>
      <w:r>
        <w:rPr>
          <w:b/>
          <w:bCs/>
        </w:rPr>
        <w:t xml:space="preserve">RONIC = WACC</w:t>
      </w:r>
      <w:r>
        <w:t xml:space="preserve"> en la KVD: el término (1 − g/WACC) sobre (WACC − g) se simplifica algebraicamente y queda </w:t>
      </w:r>
      <w:r>
        <w:rPr>
          <w:b/>
          <w:bCs/>
        </w:rPr>
        <w:t xml:space="preserve">Valor = NOPAT / WACC</w:t>
      </w:r>
      <w:r>
        <w:t xml:space="preserve">, que es exactamente el valor de la empresa </w:t>
      </w:r>
      <w:r>
        <w:rPr>
          <w:b/>
          <w:bCs/>
        </w:rPr>
        <w:t xml:space="preserve">sin</w:t>
      </w:r>
      <w:r>
        <w:t xml:space="preserve"> crecimiento. Conclusión demoledora: cuando RONIC = WACC, la empresa vale </w:t>
      </w:r>
      <w:r>
        <w:rPr>
          <w:b/>
          <w:bCs/>
        </w:rPr>
        <w:t xml:space="preserve">lo mismo crezca o no crezca</w:t>
      </w:r>
      <w:r>
        <w:t xml:space="preserve">. El crecimiento no agrega ni un peso.</w:t>
      </w:r>
    </w:p>
    <w:p>
      <w:pPr>
        <w:spacing w:after="140" w:line="276"/>
      </w:pPr>
      <w:r>
        <w:t xml:space="preserve">Esto prueba que lo que crea valor </w:t>
      </w:r>
      <w:r>
        <w:rPr>
          <w:b/>
          <w:bCs/>
        </w:rPr>
        <w:t xml:space="preserve">no es el crecimiento en sí, sino el spread RONIC − WACC</w:t>
      </w:r>
      <w:r>
        <w:t xml:space="preserve">. El crecimiento es apenas un </w:t>
      </w:r>
      <w:r>
        <w:rPr>
          <w:b/>
          <w:bCs/>
        </w:rPr>
        <w:t xml:space="preserve">multiplicador</w:t>
      </w:r>
      <w:r>
        <w:t xml:space="preserve"> de ese spread: amplifica la creación de valor si el spread es positivo, y amplifica la </w:t>
      </w:r>
      <w:r>
        <w:rPr>
          <w:b/>
          <w:bCs/>
        </w:rPr>
        <w:t xml:space="preserve">destrucción</w:t>
      </w:r>
      <w:r>
        <w:t xml:space="preserve"> si es negativo. Tres empresas que crecen exactamente al mismo 4% pueden valer 13×, 10× o 5,5× su NOPAT según su RONIC. Crecer con RONIC &lt; WACC empobrece: una empresa más grande y más pobre.</w:t>
      </w:r>
    </w:p>
    <w:p>
      <w:pPr>
        <w:pStyle w:val="Heading2"/>
        <w:spacing w:after="100" w:before="220"/>
      </w:pPr>
      <w:r>
        <w:t xml:space="preserve">Aplicación a Andina e interrelaciones</w:t>
      </w:r>
    </w:p>
    <w:p>
      <w:pPr>
        <w:spacing w:after="140" w:line="276"/>
      </w:pPr>
      <w:r>
        <w:t xml:space="preserve">En Andina, con NOPAT ~540 y un WACC de 21%, el valor depende </w:t>
      </w:r>
      <w:r>
        <w:rPr>
          <w:b/>
          <w:bCs/>
        </w:rPr>
        <w:t xml:space="preserve">enteramente</w:t>
      </w:r>
      <w:r>
        <w:t xml:space="preserve"> de si los proyectos nuevos tienen RONIC por encima o por debajo del 21%. Si el RONIC marginal está debajo del WACC —probable, dado el costo de capital altísimo del país—, crecer destruye valor, y la KVD lo muestra con números: el valor cae respecto del piso NOPAT/WACC.</w:t>
      </w:r>
    </w:p>
    <w:p>
      <w:pPr>
        <w:spacing w:after="140" w:line="276"/>
      </w:pPr>
      <w:r>
        <w:rPr>
          <w:b/>
          <w:bCs/>
        </w:rPr>
        <w:t xml:space="preserve">Interrelación clave:</w:t>
      </w:r>
      <w:r>
        <w:t xml:space="preserve"> la KVD es el puente entre el árbol de generadores (NOPAT, RONIC, g, WACC, Semanas 3 y 9) y la valuación integral por DCF (Semana 12). El valor terminal se calcula con la </w:t>
      </w:r>
      <w:r>
        <w:rPr>
          <w:b/>
          <w:bCs/>
        </w:rPr>
        <w:t xml:space="preserve">misma</w:t>
      </w:r>
      <w:r>
        <w:t xml:space="preserve"> KVD usando el RONIC de largo plazo. Es la ecuación maestra: todo el resto del programa existe para alimentar uno de sus cuatro inputs.</w:t>
      </w:r>
    </w:p>
    <w:p>
      <w:pPr>
        <w:pStyle w:val="Heading2"/>
        <w:spacing w:after="100" w:before="220"/>
      </w:pPr>
      <w:r>
        <w:t xml:space="preserve">El modelo: variables y fórmulas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0B1120" w:color="0B1120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Variable de entrada</w:t>
            </w:r>
          </w:p>
        </w:tc>
        <w:tc>
          <w:tcPr>
            <w:shd w:fill="0B1120" w:color="0B1120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Valor base</w:t>
            </w:r>
          </w:p>
        </w:tc>
      </w:tr>
      <w:tr>
        <w:tc>
          <w:p>
            <w:pPr>
              <w:jc w:val="left"/>
            </w:pPr>
            <w:r>
              <w:rPr>
                <w:sz w:val="18"/>
                <w:szCs w:val="18"/>
              </w:rPr>
              <w:t xml:space="preserve">NOPAT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540</w:t>
            </w:r>
          </w:p>
        </w:tc>
      </w:tr>
      <w:tr>
        <w:tc>
          <w:p>
            <w:pPr>
              <w:jc w:val="left"/>
            </w:pPr>
            <w:r>
              <w:rPr>
                <w:sz w:val="18"/>
                <w:szCs w:val="18"/>
              </w:rPr>
              <w:t xml:space="preserve">RONIC (capital nuevo)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0.12</w:t>
            </w:r>
          </w:p>
        </w:tc>
      </w:tr>
      <w:tr>
        <w:tc>
          <w:p>
            <w:pPr>
              <w:jc w:val="left"/>
            </w:pPr>
            <w:r>
              <w:rPr>
                <w:sz w:val="18"/>
                <w:szCs w:val="18"/>
              </w:rPr>
              <w:t xml:space="preserve">Crecimiento (g)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0.03</w:t>
            </w:r>
          </w:p>
        </w:tc>
      </w:tr>
      <w:tr>
        <w:tc>
          <w:p>
            <w:pPr>
              <w:jc w:val="left"/>
            </w:pPr>
            <w:r>
              <w:rPr>
                <w:sz w:val="18"/>
                <w:szCs w:val="18"/>
              </w:rPr>
              <w:t xml:space="preserve">WACC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0.21</w:t>
            </w:r>
          </w:p>
        </w:tc>
      </w:tr>
    </w:tbl>
    <w:p>
      <w:pPr>
        <w:spacing w:after="100"/>
      </w:pP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0B1120" w:color="0B1120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Indicador calculado</w:t>
            </w:r>
          </w:p>
        </w:tc>
        <w:tc>
          <w:tcPr>
            <w:shd w:fill="0B1120" w:color="0B1120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Fórmula</w:t>
            </w:r>
          </w:p>
        </w:tc>
      </w:tr>
      <w:tr>
        <w:tc>
          <w:p>
            <w:pPr>
              <w:jc w:val="left"/>
            </w:pPr>
            <w:r>
              <w:rPr>
                <w:sz w:val="18"/>
                <w:szCs w:val="18"/>
              </w:rPr>
              <w:t xml:space="preserve">Tasa de reinversión (g/RONIC)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g/ronic</w:t>
            </w:r>
          </w:p>
        </w:tc>
      </w:tr>
      <w:tr>
        <w:tc>
          <w:p>
            <w:pPr>
              <w:jc w:val="left"/>
            </w:pPr>
            <w:r>
              <w:rPr>
                <w:sz w:val="18"/>
                <w:szCs w:val="18"/>
              </w:rPr>
              <w:t xml:space="preserve">FCFF como % del NOPAT (1 − g/RONIC)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1-g/ronic</w:t>
            </w:r>
          </w:p>
        </w:tc>
      </w:tr>
      <w:tr>
        <w:tc>
          <w:p>
            <w:pPr>
              <w:jc w:val="left"/>
            </w:pPr>
            <w:r>
              <w:rPr>
                <w:sz w:val="18"/>
                <w:szCs w:val="18"/>
              </w:rPr>
              <w:t xml:space="preserve">Valor (KVD)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IF(wacc&gt;g,nopat*(1-g/ronic)/(wacc-g),NA())</w:t>
            </w:r>
          </w:p>
        </w:tc>
      </w:tr>
      <w:tr>
        <w:tc>
          <w:p>
            <w:pPr>
              <w:jc w:val="left"/>
            </w:pPr>
            <w:r>
              <w:rPr>
                <w:sz w:val="18"/>
                <w:szCs w:val="18"/>
              </w:rPr>
              <w:t xml:space="preserve">Valor sin crecimiento (NOPAT/WACC)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nopat/wacc</w:t>
            </w:r>
          </w:p>
        </w:tc>
      </w:tr>
    </w:tbl>
    <w:p>
      <w:pPr>
        <w:spacing w:before="160"/>
      </w:pPr>
      <w:r>
        <w:t xml:space="preserve">Abrí el </w:t>
      </w:r>
      <w:r>
        <w:rPr>
          <w:b/>
          <w:bCs/>
        </w:rPr>
        <w:t xml:space="preserve">modelo interactivo</w:t>
      </w:r>
      <w:r>
        <w:t xml:space="preserve"> de este ítem en la plataforma para mover las variables en vivo, y usá el Excel para construir tu propio caso con matrices dinámicas.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rPr>
      <w:b/>
      <w:bCs/>
      <w:color w:val="0B1120"/>
      <w:sz w:val="36"/>
      <w:szCs w:val="36"/>
    </w:rPr>
  </w:style>
  <w:style w:type="paragraph" w:styleId="Heading2">
    <w:name w:val="Heading 2"/>
    <w:pPr>
      <w:spacing w:after="100" w:before="200"/>
    </w:pPr>
    <w:rPr>
      <w:b/>
      <w:bCs/>
      <w:color w:val="94741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2026-06-24T11:50:52.298Z</dcterms:created>
  <dcterms:modified xsi:type="dcterms:W3CDTF">2026-06-24T11:50:52.298Z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