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b/>
          <w:bCs/>
          <w:color w:val="D4AF37"/>
          <w:sz w:val="18"/>
          <w:szCs w:val="18"/>
        </w:rPr>
        <w:t xml:space="preserve">ACADEMIA FC + IA · Semana 5</w:t>
      </w:r>
    </w:p>
    <w:p>
      <w:pPr>
        <w:pStyle w:val="Title"/>
        <w:spacing w:after="40"/>
      </w:pPr>
      <w:r>
        <w:t xml:space="preserve">Ítem 4. GAF: cómo los intereses amplifican el resultado neto</w:t>
      </w:r>
    </w:p>
    <w:p>
      <w:pPr>
        <w:spacing w:after="40"/>
      </w:pPr>
      <w:r>
        <w:rPr>
          <w:i/>
          <w:iCs/>
          <w:color w:val="555555"/>
          <w:sz w:val="22"/>
          <w:szCs w:val="22"/>
        </w:rPr>
        <w:t xml:space="preserve">Grado de Apalancamiento Financiero y el riesgo de la deuda</w:t>
      </w:r>
    </w:p>
    <w:p>
      <w:pPr>
        <w:spacing w:after="160"/>
      </w:pPr>
      <w:r>
        <w:rPr>
          <w:b/>
          <w:bCs/>
          <w:color w:val="94741F"/>
          <w:sz w:val="18"/>
          <w:szCs w:val="18"/>
        </w:rPr>
        <w:t xml:space="preserve">Marco: GAF · value-generation-emerging-markets</w:t>
      </w:r>
    </w:p>
    <w:p>
      <w:pPr>
        <w:pStyle w:val="Heading2"/>
        <w:spacing w:after="100" w:before="220"/>
      </w:pPr>
      <w:r>
        <w:t xml:space="preserve">La segunda palanca: los intereses fijos</w:t>
      </w:r>
    </w:p>
    <w:p>
      <w:pPr>
        <w:spacing w:after="140" w:line="276"/>
      </w:pPr>
      <w:r>
        <w:t xml:space="preserve">El </w:t>
      </w:r>
      <w:r>
        <w:rPr>
          <w:b/>
          <w:bCs/>
        </w:rPr>
        <w:t xml:space="preserve">Grado de Apalancamiento Financiero (GAF)</w:t>
      </w:r>
      <w:r>
        <w:t xml:space="preserve"> mide cuánto se amplifica el </w:t>
      </w:r>
      <w:r>
        <w:rPr>
          <w:b/>
          <w:bCs/>
        </w:rPr>
        <w:t xml:space="preserve">resultado del accionista</w:t>
      </w:r>
      <w:r>
        <w:t xml:space="preserve"> (utilidad neta o UPA) ante un cambio en el </w:t>
      </w:r>
      <w:r>
        <w:rPr>
          <w:b/>
          <w:bCs/>
        </w:rPr>
        <w:t xml:space="preserve">EBIT</w:t>
      </w:r>
      <w:r>
        <w:t xml:space="preserve">. Es la elasticidad financiera: GAF = Δ%Utilidad Neta / Δ%EBIT. Si el GAF es 2, una suba del EBIT del 10% hace subir la utilidad neta un 20%… y una caída del 10% la hunde otro 20%. Igual que el GAO, amplifica en ambas direcciones.</w:t>
      </w:r>
    </w:p>
    <w:p>
      <w:pPr>
        <w:spacing w:after="140" w:line="276"/>
      </w:pPr>
      <w:r>
        <w:t xml:space="preserve">El motor acá son los </w:t>
      </w:r>
      <w:r>
        <w:rPr>
          <w:b/>
          <w:bCs/>
        </w:rPr>
        <w:t xml:space="preserve">intereses</w:t>
      </w:r>
      <w:r>
        <w:t xml:space="preserve">, que son un </w:t>
      </w:r>
      <w:r>
        <w:rPr>
          <w:b/>
          <w:bCs/>
        </w:rPr>
        <w:t xml:space="preserve">costo fijo financiero</w:t>
      </w:r>
      <w:r>
        <w:t xml:space="preserve">: hay que pagarlos llueva o truene, suba o baje el EBIT. La fórmula lo muestra: </w:t>
      </w:r>
      <w:r>
        <w:rPr>
          <w:b/>
          <w:bCs/>
        </w:rPr>
        <w:t xml:space="preserve">GAF = EBIT / (EBIT − Intereses)</w:t>
      </w:r>
      <w:r>
        <w:t xml:space="preserve">. Cuanto más grandes son los intereses respecto del EBIT, más chico es el denominador y más se dispara el GAF. Cuando los intereses se acercan al EBIT, el GAF tiende a infinito: la empresa está al borde de no cubrir su costo financiero.</w:t>
      </w:r>
    </w:p>
    <w:p>
      <w:pPr>
        <w:spacing w:after="140" w:line="276"/>
      </w:pPr>
      <w:r>
        <w:t xml:space="preserve">El GAF es la medida del </w:t>
      </w:r>
      <w:r>
        <w:rPr>
          <w:b/>
          <w:bCs/>
        </w:rPr>
        <w:t xml:space="preserve">riesgo financiero</w:t>
      </w:r>
      <w:r>
        <w:t xml:space="preserve">, el que la empresa </w:t>
      </w:r>
      <w:r>
        <w:rPr>
          <w:b/>
          <w:bCs/>
        </w:rPr>
        <w:t xml:space="preserve">elige</w:t>
      </w:r>
      <w:r>
        <w:t xml:space="preserve"> al endeudarse (a diferencia del riesgo operativo, que viene con el negocio). Andina, con EBIT 830 e intereses 560, tiene un GAF alto: GAF = 830 / (830 − 560) = 830 / 270 ≈ </w:t>
      </w:r>
      <w:r>
        <w:rPr>
          <w:b/>
          <w:bCs/>
        </w:rPr>
        <w:t xml:space="preserve">3,07</w:t>
      </w:r>
      <w:r>
        <w:t xml:space="preserve">. Una caída del 10% en el EBIT le hunde la utilidad un 30%. Esa es la cara financiera de su problema.</w:t>
      </w:r>
    </w:p>
    <w:p>
      <w:pPr>
        <w:pStyle w:val="Heading2"/>
        <w:spacing w:after="100" w:before="220"/>
      </w:pPr>
      <w:r>
        <w:t xml:space="preserve">El espejo de la cobertura de intereses</w:t>
      </w:r>
    </w:p>
    <w:p>
      <w:pPr>
        <w:spacing w:after="140" w:line="276"/>
      </w:pPr>
      <w:r>
        <w:t xml:space="preserve">El GAF es el reflejo matemático de la </w:t>
      </w:r>
      <w:r>
        <w:rPr>
          <w:b/>
          <w:bCs/>
        </w:rPr>
        <w:t xml:space="preserve">cobertura de intereses</w:t>
      </w:r>
      <w:r>
        <w:t xml:space="preserve"> del ítem 2. Donde la cobertura mide cuántas veces el EBIT cubre los intereses (EBIT / Intereses), el GAF mide cuánto amplifican esos mismos intereses la volatilidad del resultado. Una cobertura baja (poco colchón) implica un GAF alto (mucha amplificación): son dos lecturas del mismo riesgo financiero.</w:t>
      </w:r>
    </w:p>
    <w:p>
      <w:pPr>
        <w:spacing w:after="140" w:line="276"/>
      </w:pPr>
      <w:r>
        <w:t xml:space="preserve">A diferencia del GAO —que depende de la estructura productiva y es difícil de cambiar en el corto plazo—, el GAF se puede gestionar directamente: refinanciando deuda cara, bajando el descubierto, reestructurando pasivos. En Andina, atacar el descubierto bancario al 85% sería la palanca más rápida para bajar el GAF y aliviar el resultado neto.</w:t>
      </w:r>
    </w:p>
    <w:p>
      <w:pPr>
        <w:pStyle w:val="Heading2"/>
        <w:spacing w:after="100" w:before="220"/>
      </w:pPr>
      <w:r>
        <w:t xml:space="preserve">Interrelación: GAF, estructura de capital y WACC</w:t>
      </w:r>
    </w:p>
    <w:p>
      <w:pPr>
        <w:spacing w:after="140" w:line="276"/>
      </w:pPr>
      <w:r>
        <w:t xml:space="preserve">El GAF es la traducción operativa de la </w:t>
      </w:r>
      <w:r>
        <w:rPr>
          <w:b/>
          <w:bCs/>
        </w:rPr>
        <w:t xml:space="preserve">estructura de capital</w:t>
      </w:r>
      <w:r>
        <w:t xml:space="preserve">: cuánta deuda lleva la empresa y a qué costo. En el árbol de generadores de valor, más deuda sube el ROE (por el multiplicador del </w:t>
      </w:r>
      <w:r>
        <w:rPr>
          <w:b/>
          <w:bCs/>
        </w:rPr>
        <w:t xml:space="preserve">DuPont</w:t>
      </w:r>
      <w:r>
        <w:t xml:space="preserve">) pero también sube el riesgo financiero y, pasado el óptimo, el propio </w:t>
      </w:r>
      <w:r>
        <w:rPr>
          <w:b/>
          <w:bCs/>
        </w:rPr>
        <w:t xml:space="preserve">WACC</w:t>
      </w:r>
      <w:r>
        <w:t xml:space="preserve">. El GAF es la medida de "cuánto amplifica" esa estructura, y dialoga directamente con el costo del capital de las semanas siguientes.</w:t>
      </w:r>
    </w:p>
    <w:p>
      <w:pPr>
        <w:spacing w:after="140" w:line="276"/>
      </w:pPr>
      <w:r>
        <w:rPr>
          <w:b/>
          <w:bCs/>
        </w:rPr>
        <w:t xml:space="preserve">Interrelación clave:</w:t>
      </w:r>
      <w:r>
        <w:t xml:space="preserve"> el GAF combinado con el </w:t>
      </w:r>
      <w:r>
        <w:rPr>
          <w:b/>
          <w:bCs/>
        </w:rPr>
        <w:t xml:space="preserve">GAO</w:t>
      </w:r>
      <w:r>
        <w:t xml:space="preserve"> del ítem 3 da el </w:t>
      </w:r>
      <w:r>
        <w:rPr>
          <w:b/>
          <w:bCs/>
        </w:rPr>
        <w:t xml:space="preserve">GAT</w:t>
      </w:r>
      <w:r>
        <w:t xml:space="preserve"> del ítem 5. Y hay un círculo virtuoso posible: si Andina libera caja del capital de trabajo (mejor CCE), reduce su necesidad de deuda cara, baja su Kd y su GAF, lo que reduce su riesgo y puede bajar el WACC —ampliando el spread de valor—. El riesgo financiero no es un destino: es una decisión que se gestiona.</w:t>
      </w:r>
    </w:p>
    <w:p>
      <w:pPr>
        <w:pStyle w:val="Heading2"/>
        <w:spacing w:after="100" w:before="220"/>
      </w:pPr>
      <w:r>
        <w:t xml:space="preserve">El modelo: variables y fórmulas</w:t>
      </w:r>
    </w:p>
    <w:tbl>
      <w:tblPr>
        <w:tblW w:type="pct" w:w="100%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CCCCCC" w:sz="4"/>
          <w:insideV w:val="single" w:color="CCCCCC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0B1120" w:color="0B1120" w:val="solid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Variable de entrada</w:t>
            </w:r>
          </w:p>
        </w:tc>
        <w:tc>
          <w:tcPr>
            <w:shd w:fill="0B1120" w:color="0B1120" w:val="solid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Valor base</w:t>
            </w:r>
          </w:p>
        </w:tc>
      </w:tr>
      <w:tr>
        <w:tc>
          <w:p>
            <w:pPr>
              <w:jc w:val="left"/>
            </w:pPr>
            <w:r>
              <w:rPr>
                <w:sz w:val="18"/>
                <w:szCs w:val="18"/>
              </w:rPr>
              <w:t xml:space="preserve">EBIT (resultado operativo)</w:t>
            </w:r>
          </w:p>
        </w:tc>
        <w:tc>
          <w:p>
            <w:pPr>
              <w:jc w:val="right"/>
            </w:pPr>
            <w:r>
              <w:rPr>
                <w:sz w:val="18"/>
                <w:szCs w:val="18"/>
              </w:rPr>
              <w:t xml:space="preserve">830</w:t>
            </w:r>
          </w:p>
        </w:tc>
      </w:tr>
      <w:tr>
        <w:tc>
          <w:p>
            <w:pPr>
              <w:jc w:val="left"/>
            </w:pPr>
            <w:r>
              <w:rPr>
                <w:sz w:val="18"/>
                <w:szCs w:val="18"/>
              </w:rPr>
              <w:t xml:space="preserve">Intereses (costo fijo financiero)</w:t>
            </w:r>
          </w:p>
        </w:tc>
        <w:tc>
          <w:p>
            <w:pPr>
              <w:jc w:val="right"/>
            </w:pPr>
            <w:r>
              <w:rPr>
                <w:sz w:val="18"/>
                <w:szCs w:val="18"/>
              </w:rPr>
              <w:t xml:space="preserve">560</w:t>
            </w:r>
          </w:p>
        </w:tc>
      </w:tr>
      <w:tr>
        <w:tc>
          <w:p>
            <w:pPr>
              <w:jc w:val="left"/>
            </w:pPr>
            <w:r>
              <w:rPr>
                <w:sz w:val="18"/>
                <w:szCs w:val="18"/>
              </w:rPr>
              <w:t xml:space="preserve">Escenario: caída del EBIT</w:t>
            </w:r>
          </w:p>
        </w:tc>
        <w:tc>
          <w:p>
            <w:pPr>
              <w:jc w:val="right"/>
            </w:pPr>
            <w:r>
              <w:rPr>
                <w:sz w:val="18"/>
                <w:szCs w:val="18"/>
              </w:rPr>
              <w:t xml:space="preserve">0.1</w:t>
            </w:r>
          </w:p>
        </w:tc>
      </w:tr>
    </w:tbl>
    <w:p>
      <w:pPr>
        <w:spacing w:after="100"/>
      </w:pPr>
    </w:p>
    <w:tbl>
      <w:tblPr>
        <w:tblW w:type="pct" w:w="100%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CCCCCC" w:sz="4"/>
          <w:insideV w:val="single" w:color="CCCCCC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0B1120" w:color="0B1120" w:val="solid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Indicador calculado</w:t>
            </w:r>
          </w:p>
        </w:tc>
        <w:tc>
          <w:tcPr>
            <w:shd w:fill="0B1120" w:color="0B1120" w:val="solid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Fórmula</w:t>
            </w:r>
          </w:p>
        </w:tc>
      </w:tr>
      <w:tr>
        <w:tc>
          <w:p>
            <w:pPr>
              <w:jc w:val="left"/>
            </w:pPr>
            <w:r>
              <w:rPr>
                <w:sz w:val="18"/>
                <w:szCs w:val="18"/>
              </w:rPr>
              <w:t xml:space="preserve">Resultado antes de impuestos (EBIT − Int.)</w:t>
            </w:r>
          </w:p>
        </w:tc>
        <w:tc>
          <w:p>
            <w:pPr>
              <w:jc w:val="right"/>
            </w:pPr>
            <w:r>
              <w:rPr>
                <w:sz w:val="18"/>
                <w:szCs w:val="18"/>
              </w:rPr>
              <w:t xml:space="preserve">ebit-intereses</w:t>
            </w:r>
          </w:p>
        </w:tc>
      </w:tr>
      <w:tr>
        <w:tc>
          <w:p>
            <w:pPr>
              <w:jc w:val="left"/>
            </w:pPr>
            <w:r>
              <w:rPr>
                <w:sz w:val="18"/>
                <w:szCs w:val="18"/>
              </w:rPr>
              <w:t xml:space="preserve">GAF (EBIT / (EBIT − Int.))</w:t>
            </w:r>
          </w:p>
        </w:tc>
        <w:tc>
          <w:p>
            <w:pPr>
              <w:jc w:val="right"/>
            </w:pPr>
            <w:r>
              <w:rPr>
                <w:sz w:val="18"/>
                <w:szCs w:val="18"/>
              </w:rPr>
              <w:t xml:space="preserve">ebit/uai</w:t>
            </w:r>
          </w:p>
        </w:tc>
      </w:tr>
      <w:tr>
        <w:tc>
          <w:p>
            <w:pPr>
              <w:jc w:val="left"/>
            </w:pPr>
            <w:r>
              <w:rPr>
                <w:sz w:val="18"/>
                <w:szCs w:val="18"/>
              </w:rPr>
              <w:t xml:space="preserve">Caída de la utilidad en el escenario</w:t>
            </w:r>
          </w:p>
        </w:tc>
        <w:tc>
          <w:p>
            <w:pPr>
              <w:jc w:val="right"/>
            </w:pPr>
            <w:r>
              <w:rPr>
                <w:sz w:val="18"/>
                <w:szCs w:val="18"/>
              </w:rPr>
              <w:t xml:space="preserve">gaf*caidaEbit</w:t>
            </w:r>
          </w:p>
        </w:tc>
      </w:tr>
    </w:tbl>
    <w:p>
      <w:pPr>
        <w:spacing w:before="160"/>
      </w:pPr>
      <w:r>
        <w:t xml:space="preserve">Abrí el </w:t>
      </w:r>
      <w:r>
        <w:rPr>
          <w:b/>
          <w:bCs/>
        </w:rPr>
        <w:t xml:space="preserve">modelo interactivo</w:t>
      </w:r>
      <w:r>
        <w:t xml:space="preserve"> de este ítem en la plataforma para mover las variables en vivo, y usá el Excel para construir tu propio caso con matrices dinámicas.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rPr>
      <w:b/>
      <w:bCs/>
      <w:color w:val="0B1120"/>
      <w:sz w:val="36"/>
      <w:szCs w:val="36"/>
    </w:rPr>
  </w:style>
  <w:style w:type="paragraph" w:styleId="Heading2">
    <w:name w:val="Heading 2"/>
    <w:pPr>
      <w:spacing w:after="100" w:before="200"/>
    </w:pPr>
    <w:rPr>
      <w:b/>
      <w:bCs/>
      <w:color w:val="94741F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2026-06-24T11:50:52.381Z</dcterms:created>
  <dcterms:modified xsi:type="dcterms:W3CDTF">2026-06-24T11:50:52.381Z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