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6</w:t>
      </w:r>
    </w:p>
    <w:p>
      <w:pPr>
        <w:pStyle w:val="Title"/>
        <w:spacing w:after="40"/>
      </w:pPr>
      <w:r>
        <w:t xml:space="preserve">Ítem 1. FCFF: el flujo libre de la firma</w:t>
      </w:r>
    </w:p>
    <w:p>
      <w:pPr>
        <w:spacing w:after="40"/>
      </w:pPr>
      <w:r>
        <w:rPr>
          <w:i/>
          <w:iCs/>
          <w:color w:val="555555"/>
          <w:sz w:val="22"/>
          <w:szCs w:val="22"/>
        </w:rPr>
        <w:t xml:space="preserve">NOPAT + Amortizaciones − CAPEX − ΔCapital de trabajo</w:t>
      </w:r>
    </w:p>
    <w:p>
      <w:pPr>
        <w:spacing w:after="160"/>
      </w:pPr>
      <w:r>
        <w:rPr>
          <w:b/>
          <w:bCs/>
          <w:color w:val="94741F"/>
          <w:sz w:val="18"/>
          <w:szCs w:val="18"/>
        </w:rPr>
        <w:t xml:space="preserve">Marco: FCFF · McKinsey (Valuation)</w:t>
      </w:r>
    </w:p>
    <w:p>
      <w:pPr>
        <w:pStyle w:val="Heading2"/>
        <w:spacing w:after="100" w:before="220"/>
      </w:pPr>
      <w:r>
        <w:t xml:space="preserve">La caja que genera el negocio para todos</w:t>
      </w:r>
    </w:p>
    <w:p>
      <w:pPr>
        <w:spacing w:after="140" w:line="276"/>
      </w:pPr>
      <w:r>
        <w:t xml:space="preserve">El </w:t>
      </w:r>
      <w:r>
        <w:rPr>
          <w:b/>
          <w:bCs/>
        </w:rPr>
        <w:t xml:space="preserve">Free Cash Flow to the Firm (FCFF)</w:t>
      </w:r>
      <w:r>
        <w:t xml:space="preserve"> es la caja que generan las operaciones de la empresa, antes de repartirla entre acreedores y accionistas, y después de hacer las inversiones que el negocio necesita para sostenerse. Es la materia prima de la valuación: descontado al </w:t>
      </w:r>
      <w:r>
        <w:rPr>
          <w:b/>
          <w:bCs/>
        </w:rPr>
        <w:t xml:space="preserve">WACC</w:t>
      </w:r>
      <w:r>
        <w:t xml:space="preserve">, da el </w:t>
      </w:r>
      <w:r>
        <w:rPr>
          <w:b/>
          <w:bCs/>
        </w:rPr>
        <w:t xml:space="preserve">Enterprise Value</w:t>
      </w:r>
      <w:r>
        <w:t xml:space="preserve"> (valor de la firma) de la Semana 12. La fórmula canónica es </w:t>
      </w:r>
      <w:r>
        <w:rPr>
          <w:b/>
          <w:bCs/>
        </w:rPr>
        <w:t xml:space="preserve">FCFF = NOPAT + Amortizaciones − CAPEX − ΔCapital de Trabajo</w:t>
      </w:r>
      <w:r>
        <w:t xml:space="preserve">.</w:t>
      </w:r>
    </w:p>
    <w:p>
      <w:pPr>
        <w:spacing w:after="140" w:line="276"/>
      </w:pPr>
      <w:r>
        <w:t xml:space="preserve">Cada término tiene un sentido económico claro. El </w:t>
      </w:r>
      <w:r>
        <w:rPr>
          <w:b/>
          <w:bCs/>
        </w:rPr>
        <w:t xml:space="preserve">NOPAT</w:t>
      </w:r>
      <w:r>
        <w:t xml:space="preserve"> (EBIT × (1 − t)) es la ganancia operativa después de impuestos, como si la empresa no tuviera deuda. Se le </w:t>
      </w:r>
      <w:r>
        <w:rPr>
          <w:b/>
          <w:bCs/>
        </w:rPr>
        <w:t xml:space="preserve">suman las amortizaciones</w:t>
      </w:r>
      <w:r>
        <w:t xml:space="preserve"> porque son un gasto contable que no implica salida de caja. Se le </w:t>
      </w:r>
      <w:r>
        <w:rPr>
          <w:b/>
          <w:bCs/>
        </w:rPr>
        <w:t xml:space="preserve">resta el CAPEX</w:t>
      </w:r>
      <w:r>
        <w:t xml:space="preserve">, la inversión real en activos fijos que sí drena efectivo. Y se le resta el </w:t>
      </w:r>
      <w:r>
        <w:rPr>
          <w:b/>
          <w:bCs/>
        </w:rPr>
        <w:t xml:space="preserve">ΔCapital de Trabajo</w:t>
      </w:r>
      <w:r>
        <w:t xml:space="preserve">: la caja que el crecimiento atrapa en inventarios y cuentas por cobrar, neta de lo que financian los proveedores.</w:t>
      </w:r>
    </w:p>
    <w:p>
      <w:pPr>
        <w:spacing w:after="140" w:line="276"/>
      </w:pPr>
      <w:r>
        <w:t xml:space="preserve">Acá aparece la cara financiera del problema de Andina. Contablemente luce con utilidad, pero su </w:t>
      </w:r>
      <w:r>
        <w:rPr>
          <w:b/>
          <w:bCs/>
        </w:rPr>
        <w:t xml:space="preserve">FCFF es negativo</w:t>
      </w:r>
      <w:r>
        <w:t xml:space="preserve">: con NOPAT de ~540, amortizaciones de 290, CAPEX de 440 y un ΔCapital de Trabajo enorme (las cobranzas y el inventario crecieron mucho más rápido que las ventas), la empresa </w:t>
      </w:r>
      <w:r>
        <w:rPr>
          <w:b/>
          <w:bCs/>
        </w:rPr>
        <w:t xml:space="preserve">consume caja en lugar de generarla</w:t>
      </w:r>
      <w:r>
        <w:t xml:space="preserve">. El flujo de fondos desenmascara lo que el Estado de Resultados esconde.</w:t>
      </w:r>
    </w:p>
    <w:p>
      <w:pPr>
        <w:pStyle w:val="Heading2"/>
        <w:spacing w:after="100" w:before="220"/>
      </w:pPr>
      <w:r>
        <w:t xml:space="preserve">El ΔCapital de Trabajo, el gran sospechoso</w:t>
      </w:r>
    </w:p>
    <w:p>
      <w:pPr>
        <w:spacing w:after="140" w:line="276"/>
      </w:pPr>
      <w:r>
        <w:t xml:space="preserve">El </w:t>
      </w:r>
      <w:r>
        <w:rPr>
          <w:b/>
          <w:bCs/>
        </w:rPr>
        <w:t xml:space="preserve">ΔCapital de Trabajo</w:t>
      </w:r>
      <w:r>
        <w:t xml:space="preserve"> es donde se esconde la mayor fuga de caja en los mercados emergentes. Se calcula como el aumento de cuentas por cobrar más el aumento de inventarios, menos el aumento de proveedores. En Andina, las cuentas por cobrar subieron 330, los inventarios 550 y los proveedores solo 160: el capital de trabajo absorbió </w:t>
      </w:r>
      <w:r>
        <w:rPr>
          <w:b/>
          <w:bCs/>
        </w:rPr>
        <w:t xml:space="preserve">720</w:t>
      </w:r>
      <w:r>
        <w:t xml:space="preserve"> de caja en un solo año, más que todo el NOPAT.</w:t>
      </w:r>
    </w:p>
    <w:p>
      <w:pPr>
        <w:spacing w:after="140" w:line="276"/>
      </w:pPr>
      <w:r>
        <w:rPr>
          <w:b/>
          <w:bCs/>
        </w:rPr>
        <w:t xml:space="preserve">Aclaración importante:</w:t>
      </w:r>
      <w:r>
        <w:t xml:space="preserve"> un ΔCapital de Trabajo positivo (el capital de trabajo crece) </w:t>
      </w:r>
      <w:r>
        <w:rPr>
          <w:b/>
          <w:bCs/>
        </w:rPr>
        <w:t xml:space="preserve">resta</w:t>
      </w:r>
      <w:r>
        <w:t xml:space="preserve"> del FCFF, porque inmoviliza efectivo. Por eso reducir el </w:t>
      </w:r>
      <w:r>
        <w:rPr>
          <w:b/>
          <w:bCs/>
        </w:rPr>
        <w:t xml:space="preserve">Ciclo de Conversión de Efectivo (CCE)</w:t>
      </w:r>
      <w:r>
        <w:t xml:space="preserve"> —cobrar más rápido, rotar mejor el inventario, estirar a proveedores— genera un FCFF extraordinario de una sola vez: libera caja atrapada. En inflación, además, el ΔCapital de Trabajo nominal es enorme aunque el negocio no crezca en términos reales; conviene trabajar los flujos en moneda homogénea o en dólares.</w:t>
      </w:r>
    </w:p>
    <w:p>
      <w:pPr>
        <w:pStyle w:val="Heading2"/>
        <w:spacing w:after="100" w:before="220"/>
      </w:pPr>
      <w:r>
        <w:t xml:space="preserve">Interrelación: FCFF, CCE y valor de la firma</w:t>
      </w:r>
    </w:p>
    <w:p>
      <w:pPr>
        <w:spacing w:after="140" w:line="276"/>
      </w:pPr>
      <w:r>
        <w:t xml:space="preserve">El FCFF es el nodo que conecta la operación con la valuación. Por arriba, se alimenta del </w:t>
      </w:r>
      <w:r>
        <w:rPr>
          <w:b/>
          <w:bCs/>
        </w:rPr>
        <w:t xml:space="preserve">NOPAT</w:t>
      </w:r>
      <w:r>
        <w:t xml:space="preserve"> y del </w:t>
      </w:r>
      <w:r>
        <w:rPr>
          <w:b/>
          <w:bCs/>
        </w:rPr>
        <w:t xml:space="preserve">CCE</w:t>
      </w:r>
      <w:r>
        <w:t xml:space="preserve"> (vía el ΔWC); por abajo, descontado al WACC, produce el </w:t>
      </w:r>
      <w:r>
        <w:rPr>
          <w:b/>
          <w:bCs/>
        </w:rPr>
        <w:t xml:space="preserve">Enterprise Value</w:t>
      </w:r>
      <w:r>
        <w:t xml:space="preserve">. La identidad de la KVD de McKinsey lo formaliza: FCFF = NOPAT × (1 − tasa de reinversión), donde la reinversión es lo que se va en CAPEX y capital de trabajo.</w:t>
      </w:r>
    </w:p>
    <w:p>
      <w:pPr>
        <w:spacing w:after="140" w:line="276"/>
      </w:pPr>
      <w:r>
        <w:rPr>
          <w:b/>
          <w:bCs/>
        </w:rPr>
        <w:t xml:space="preserve">Interrelación clave:</w:t>
      </w:r>
      <w:r>
        <w:t xml:space="preserve"> el FCFF se reparte entre los dos públicos de la empresa: </w:t>
      </w:r>
      <w:r>
        <w:rPr>
          <w:b/>
          <w:bCs/>
        </w:rPr>
        <w:t xml:space="preserve">FCFF = FCFE + FCFD</w:t>
      </w:r>
      <w:r>
        <w:t xml:space="preserve"> (el flujo del accionista más el flujo del acreedor). Esa identidad de cierre, que se desarrolla en los ítems siguientes, es el test de consistencia de todo el modelo de valuación. Si los tres flujos no cierran entre sí, hay un error en el modelo.</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EBIT (resultado operativo)</w:t>
            </w:r>
          </w:p>
        </w:tc>
        <w:tc>
          <w:p>
            <w:pPr>
              <w:jc w:val="right"/>
            </w:pPr>
            <w:r>
              <w:rPr>
                <w:sz w:val="18"/>
                <w:szCs w:val="18"/>
              </w:rPr>
              <w:t xml:space="preserve">830</w:t>
            </w:r>
          </w:p>
        </w:tc>
      </w:tr>
      <w:tr>
        <w:tc>
          <w:p>
            <w:pPr>
              <w:jc w:val="left"/>
            </w:pPr>
            <w:r>
              <w:rPr>
                <w:sz w:val="18"/>
                <w:szCs w:val="18"/>
              </w:rPr>
              <w:t xml:space="preserve">Tasa de impuesto</w:t>
            </w:r>
          </w:p>
        </w:tc>
        <w:tc>
          <w:p>
            <w:pPr>
              <w:jc w:val="right"/>
            </w:pPr>
            <w:r>
              <w:rPr>
                <w:sz w:val="18"/>
                <w:szCs w:val="18"/>
              </w:rPr>
              <w:t xml:space="preserve">0.35</w:t>
            </w:r>
          </w:p>
        </w:tc>
      </w:tr>
      <w:tr>
        <w:tc>
          <w:p>
            <w:pPr>
              <w:jc w:val="left"/>
            </w:pPr>
            <w:r>
              <w:rPr>
                <w:sz w:val="18"/>
                <w:szCs w:val="18"/>
              </w:rPr>
              <w:t xml:space="preserve">Amortizaciones</w:t>
            </w:r>
          </w:p>
        </w:tc>
        <w:tc>
          <w:p>
            <w:pPr>
              <w:jc w:val="right"/>
            </w:pPr>
            <w:r>
              <w:rPr>
                <w:sz w:val="18"/>
                <w:szCs w:val="18"/>
              </w:rPr>
              <w:t xml:space="preserve">290</w:t>
            </w:r>
          </w:p>
        </w:tc>
      </w:tr>
      <w:tr>
        <w:tc>
          <w:p>
            <w:pPr>
              <w:jc w:val="left"/>
            </w:pPr>
            <w:r>
              <w:rPr>
                <w:sz w:val="18"/>
                <w:szCs w:val="18"/>
              </w:rPr>
              <w:t xml:space="preserve">CAPEX (inversión en activo fijo)</w:t>
            </w:r>
          </w:p>
        </w:tc>
        <w:tc>
          <w:p>
            <w:pPr>
              <w:jc w:val="right"/>
            </w:pPr>
            <w:r>
              <w:rPr>
                <w:sz w:val="18"/>
                <w:szCs w:val="18"/>
              </w:rPr>
              <w:t xml:space="preserve">440</w:t>
            </w:r>
          </w:p>
        </w:tc>
      </w:tr>
      <w:tr>
        <w:tc>
          <w:p>
            <w:pPr>
              <w:jc w:val="left"/>
            </w:pPr>
            <w:r>
              <w:rPr>
                <w:sz w:val="18"/>
                <w:szCs w:val="18"/>
              </w:rPr>
              <w:t xml:space="preserve">Δ Capital de trabajo (ΔCxC + ΔInv − ΔProv)</w:t>
            </w:r>
          </w:p>
        </w:tc>
        <w:tc>
          <w:p>
            <w:pPr>
              <w:jc w:val="right"/>
            </w:pPr>
            <w:r>
              <w:rPr>
                <w:sz w:val="18"/>
                <w:szCs w:val="18"/>
              </w:rPr>
              <w:t xml:space="preserve">720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NOPAT (EBIT × (1 − t))</w:t>
            </w:r>
          </w:p>
        </w:tc>
        <w:tc>
          <w:p>
            <w:pPr>
              <w:jc w:val="right"/>
            </w:pPr>
            <w:r>
              <w:rPr>
                <w:sz w:val="18"/>
                <w:szCs w:val="18"/>
              </w:rPr>
              <w:t xml:space="preserve">ebit*(1-tax)</w:t>
            </w:r>
          </w:p>
        </w:tc>
      </w:tr>
      <w:tr>
        <w:tc>
          <w:p>
            <w:pPr>
              <w:jc w:val="left"/>
            </w:pPr>
            <w:r>
              <w:rPr>
                <w:sz w:val="18"/>
                <w:szCs w:val="18"/>
              </w:rPr>
              <w:t xml:space="preserve">FCFF</w:t>
            </w:r>
          </w:p>
        </w:tc>
        <w:tc>
          <w:p>
            <w:pPr>
              <w:jc w:val="right"/>
            </w:pPr>
            <w:r>
              <w:rPr>
                <w:sz w:val="18"/>
                <w:szCs w:val="18"/>
              </w:rPr>
              <w:t xml:space="preserve">nopat+amort-capex-dwc</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2026-06-24T11:50:52.414Z</dcterms:created>
  <dcterms:modified xsi:type="dcterms:W3CDTF">2026-06-24T11:50:52.414Z</dcterms:modified>
</cp:coreProperties>
</file>

<file path=docProps/custom.xml><?xml version="1.0" encoding="utf-8"?>
<Properties xmlns="http://schemas.openxmlformats.org/officeDocument/2006/custom-properties" xmlns:vt="http://schemas.openxmlformats.org/officeDocument/2006/docPropsVTypes"/>
</file>