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6</w:t>
      </w:r>
    </w:p>
    <w:p>
      <w:pPr>
        <w:pStyle w:val="Title"/>
        <w:spacing w:after="40"/>
      </w:pPr>
      <w:r>
        <w:t xml:space="preserve">Ítem 3. FCFD: el flujo del acreedor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Lo que recibe el banco: intereses más amortizaciones de capital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FCFD · value-driver-interrelations</w:t>
      </w:r>
    </w:p>
    <w:p>
      <w:pPr>
        <w:pStyle w:val="Heading2"/>
        <w:spacing w:after="100" w:before="220"/>
      </w:pPr>
      <w:r>
        <w:t xml:space="preserve">La caja que se llevan los bancos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Free Cash Flow to Debt (FCFD)</w:t>
      </w:r>
      <w:r>
        <w:t xml:space="preserve"> es la caja que la empresa entrega a sus </w:t>
      </w:r>
      <w:r>
        <w:rPr>
          <w:b/>
          <w:bCs/>
        </w:rPr>
        <w:t xml:space="preserve">acreedores</w:t>
      </w:r>
      <w:r>
        <w:t xml:space="preserve">: los intereses (después de impuestos) más las amortizaciones de capital, menos la nueva deuda que se emite. Es el flujo del banco y los tenedores de bonos. Descontado al </w:t>
      </w:r>
      <w:r>
        <w:rPr>
          <w:b/>
          <w:bCs/>
        </w:rPr>
        <w:t xml:space="preserve">costo de la deuda (Kd)</w:t>
      </w:r>
      <w:r>
        <w:t xml:space="preserve">, da el </w:t>
      </w:r>
      <w:r>
        <w:rPr>
          <w:b/>
          <w:bCs/>
        </w:rPr>
        <w:t xml:space="preserve">valor de mercado de la deuda</w:t>
      </w:r>
      <w:r>
        <w:t xml:space="preserve">. La fórmula es </w:t>
      </w:r>
      <w:r>
        <w:rPr>
          <w:b/>
          <w:bCs/>
        </w:rPr>
        <w:t xml:space="preserve">FCFD = Intereses × (1 − t) + Amortizaciones de capital − Nueva deuda emitida</w:t>
      </w:r>
      <w:r>
        <w:t xml:space="preserve">.</w:t>
      </w:r>
    </w:p>
    <w:p>
      <w:pPr>
        <w:spacing w:after="140" w:line="276"/>
      </w:pPr>
      <w:r>
        <w:t xml:space="preserve">Cada término refleja un movimiento de caja entre la empresa y sus acreedores. Los </w:t>
      </w:r>
      <w:r>
        <w:rPr>
          <w:b/>
          <w:bCs/>
        </w:rPr>
        <w:t xml:space="preserve">intereses después de impuestos</w:t>
      </w:r>
      <w:r>
        <w:t xml:space="preserve"> son la remuneración del préstamo (netos del escudo fiscal). Las </w:t>
      </w:r>
      <w:r>
        <w:rPr>
          <w:b/>
          <w:bCs/>
        </w:rPr>
        <w:t xml:space="preserve">amortizaciones de capital</w:t>
      </w:r>
      <w:r>
        <w:t xml:space="preserve"> son la devolución del principal. Y la </w:t>
      </w:r>
      <w:r>
        <w:rPr>
          <w:b/>
          <w:bCs/>
        </w:rPr>
        <w:t xml:space="preserve">nueva deuda emitida</w:t>
      </w:r>
      <w:r>
        <w:t xml:space="preserve"> se resta porque es plata que el acreedor le da a la empresa, no que recibe: cuando la empresa toma deuda nueva, el flujo neto hacia los acreedores baja.</w:t>
      </w:r>
    </w:p>
    <w:p>
      <w:pPr>
        <w:spacing w:after="140" w:line="276"/>
      </w:pPr>
      <w:r>
        <w:t xml:space="preserve">En Andina, el FCFD es </w:t>
      </w:r>
      <w:r>
        <w:rPr>
          <w:b/>
          <w:bCs/>
        </w:rPr>
        <w:t xml:space="preserve">positivo y abultado</w:t>
      </w:r>
      <w:r>
        <w:t xml:space="preserve">: la empresa drena caja hacia los bancos vía los intereses de 560 (descubierto caro al 85% incluido) y las amortizaciones de préstamos. Ese flujo hacia los acreedores es, en buena medida, la contracara del FCFE pobre del ítem anterior: lo que se llevan los bancos es lo que no llega al dueño.</w:t>
      </w:r>
    </w:p>
    <w:p>
      <w:pPr>
        <w:pStyle w:val="Heading2"/>
        <w:spacing w:after="100" w:before="220"/>
      </w:pPr>
      <w:r>
        <w:t xml:space="preserve">El flujo "más seguro" de los tres</w:t>
      </w:r>
    </w:p>
    <w:p>
      <w:pPr>
        <w:spacing w:after="140" w:line="276"/>
      </w:pPr>
      <w:r>
        <w:t xml:space="preserve">A diferencia del FCFE —que es residual y volátil, lo que queda al final—, el FCFD es </w:t>
      </w:r>
      <w:r>
        <w:rPr>
          <w:b/>
          <w:bCs/>
        </w:rPr>
        <w:t xml:space="preserve">contractualmente prioritario</w:t>
      </w:r>
      <w:r>
        <w:t xml:space="preserve">: los acreedores cobran antes que los accionistas. Por eso su tasa de descuento, el </w:t>
      </w:r>
      <w:r>
        <w:rPr>
          <w:b/>
          <w:bCs/>
        </w:rPr>
        <w:t xml:space="preserve">Kd</w:t>
      </w:r>
      <w:r>
        <w:t xml:space="preserve">, es menor que el </w:t>
      </w:r>
      <w:r>
        <w:rPr>
          <w:b/>
          <w:bCs/>
        </w:rPr>
        <w:t xml:space="preserve">Ke</w:t>
      </w:r>
      <w:r>
        <w:t xml:space="preserve">: menos riesgo, menos retorno exigido. La jerarquía de cobro (primero el acreedor, último el accionista) es lo que justifica que cada flujo se descuente a una tasa distinta.</w:t>
      </w:r>
    </w:p>
    <w:p>
      <w:pPr>
        <w:spacing w:after="140" w:line="276"/>
      </w:pPr>
      <w:r>
        <w:t xml:space="preserve">En mercados emergentes con tasas altas, el FCFD puede ser desproporcionadamente grande respecto del tamaño del negocio, ahogando al FCFE. Es la situación de las empresas sobreapalancadas a deuda cara: el flujo del acreedor se "come" al del accionista. Reducir el Kd (refinanciar el descubierto, por ejemplo) achica el FCFD y libera flujo para el dueño.</w:t>
      </w:r>
    </w:p>
    <w:p>
      <w:pPr>
        <w:pStyle w:val="Heading2"/>
        <w:spacing w:after="100" w:before="220"/>
      </w:pPr>
      <w:r>
        <w:t xml:space="preserve">Interrelación: FCFD, jerarquía de cobro y valor de la deuda</w:t>
      </w:r>
    </w:p>
    <w:p>
      <w:pPr>
        <w:spacing w:after="140" w:line="276"/>
      </w:pPr>
      <w:r>
        <w:t xml:space="preserve">El FCFD cierra el triángulo de los flujos: cada uno se descuenta a su propia tasa —FCFF al WACC, FCFE al Ke, FCFD al Kd— y cada uno valúa un objeto distinto (la firma, el patrimonio, la deuda). El </w:t>
      </w:r>
      <w:r>
        <w:rPr>
          <w:b/>
          <w:bCs/>
        </w:rPr>
        <w:t xml:space="preserve">valor de la deuda</w:t>
      </w:r>
      <w:r>
        <w:t xml:space="preserve"> que sale de descontar el FCFD al Kd debe ser coherente con el que se usa para ponderar el WACC.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la identidad de cierre </w:t>
      </w:r>
      <w:r>
        <w:rPr>
          <w:b/>
          <w:bCs/>
        </w:rPr>
        <w:t xml:space="preserve">FCFF = FCFE + FCFD</w:t>
      </w:r>
      <w:r>
        <w:t xml:space="preserve"> (que se desarrolla en el ítem 5) significa que el flujo total de la firma se reparte exactamente entre accionistas y acreedores. El FCFD es la porción de los acreedores; el FCFE, la de los dueños. Esa partición es el puente entre la estructura de capital (cuánta deuda) y la distribución del flujo (quién se lleva qué).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pagados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Amortización de capital (devolución)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150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Nueva deuda emitida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230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después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intereses*(1-tax)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FCFD (Int.(1−t) + Amort − Nueva deuda)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intNetos+amortDeuda-deudaNueva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2026-06-24T11:50:52.448Z</dcterms:created>
  <dcterms:modified xsi:type="dcterms:W3CDTF">2026-06-24T11:50:52.448Z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