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D4AF37"/>
          <w:sz w:val="18"/>
          <w:szCs w:val="18"/>
        </w:rPr>
        <w:t xml:space="preserve">ACADEMIA FC + IA · Semana 6</w:t>
      </w:r>
    </w:p>
    <w:p>
      <w:pPr>
        <w:pStyle w:val="Title"/>
        <w:spacing w:after="40"/>
      </w:pPr>
      <w:r>
        <w:t xml:space="preserve">Ítem 5. Reconciliación: FCFF = FCFE + FCFD</w:t>
      </w:r>
    </w:p>
    <w:p>
      <w:pPr>
        <w:spacing w:after="40"/>
      </w:pPr>
      <w:r>
        <w:rPr>
          <w:i/>
          <w:iCs/>
          <w:color w:val="555555"/>
          <w:sz w:val="22"/>
          <w:szCs w:val="22"/>
        </w:rPr>
        <w:t xml:space="preserve">Los puentes algebraicos que cierran entre sí</w:t>
      </w:r>
    </w:p>
    <w:p>
      <w:pPr>
        <w:spacing w:after="160"/>
      </w:pPr>
      <w:r>
        <w:rPr>
          <w:b/>
          <w:bCs/>
          <w:color w:val="94741F"/>
          <w:sz w:val="18"/>
          <w:szCs w:val="18"/>
        </w:rPr>
        <w:t xml:space="preserve">Marco: Reconciliación · value-driver-interrelations</w:t>
      </w:r>
    </w:p>
    <w:p>
      <w:pPr>
        <w:pStyle w:val="Heading2"/>
        <w:spacing w:after="100" w:before="220"/>
      </w:pPr>
      <w:r>
        <w:t xml:space="preserve">La identidad de cierre del modelo</w:t>
      </w:r>
    </w:p>
    <w:p>
      <w:pPr>
        <w:spacing w:after="140" w:line="276"/>
      </w:pPr>
      <w:r>
        <w:t xml:space="preserve">Los tres flujos no son independientes: reparten la misma caja generada por la empresa entre sus dos públicos. La </w:t>
      </w:r>
      <w:r>
        <w:rPr>
          <w:b/>
          <w:bCs/>
        </w:rPr>
        <w:t xml:space="preserve">identidad de cierre</w:t>
      </w:r>
      <w:r>
        <w:t xml:space="preserve"> es </w:t>
      </w:r>
      <w:r>
        <w:rPr>
          <w:b/>
          <w:bCs/>
        </w:rPr>
        <w:t xml:space="preserve">FCFF = FCFE + FCFD</w:t>
      </w:r>
      <w:r>
        <w:t xml:space="preserve">: el flujo total de la firma es exactamente la suma de lo que reciben los accionistas (FCFE) y los acreedores (FCFD). Si los tres no cierran, hay un error en el modelo de valuación. Es el test de consistencia más importante de toda la Semana 6.</w:t>
      </w:r>
    </w:p>
    <w:p>
      <w:pPr>
        <w:spacing w:after="140" w:line="276"/>
      </w:pPr>
      <w:r>
        <w:t xml:space="preserve">El puente algebraico se ve restando: </w:t>
      </w:r>
      <w:r>
        <w:rPr>
          <w:b/>
          <w:bCs/>
        </w:rPr>
        <w:t xml:space="preserve">FCFE = FCFF − Intereses × (1 − t) + ΔDeuda neta</w:t>
      </w:r>
      <w:r>
        <w:t xml:space="preserve"> y </w:t>
      </w:r>
      <w:r>
        <w:rPr>
          <w:b/>
          <w:bCs/>
        </w:rPr>
        <w:t xml:space="preserve">FCFD = Intereses × (1 − t) + Amortizaciones − Nueva deuda</w:t>
      </w:r>
      <w:r>
        <w:t xml:space="preserve">. Al sumar FCFE + FCFD, los términos de intereses se cancelan (uno los resta, el otro los suma) y los movimientos de deuda también (ΔDeuda neta = Nueva deuda − Amortización), de modo que queda exactamente el FCFF. La caja que entra al reparto es la misma que sale, repartida.</w:t>
      </w:r>
    </w:p>
    <w:p>
      <w:pPr>
        <w:spacing w:after="140" w:line="276"/>
      </w:pPr>
      <w:r>
        <w:t xml:space="preserve">Esta reconciliación es la columna vertebral de la valuación coherente: </w:t>
      </w:r>
      <w:r>
        <w:rPr>
          <w:b/>
          <w:bCs/>
        </w:rPr>
        <w:t xml:space="preserve">FCFF descontado al WACC</w:t>
      </w:r>
      <w:r>
        <w:t xml:space="preserve"> da el Enterprise Value; </w:t>
      </w:r>
      <w:r>
        <w:rPr>
          <w:b/>
          <w:bCs/>
        </w:rPr>
        <w:t xml:space="preserve">FCFE descontado al Ke</w:t>
      </w:r>
      <w:r>
        <w:t xml:space="preserve"> da el Equity Value; </w:t>
      </w:r>
      <w:r>
        <w:rPr>
          <w:b/>
          <w:bCs/>
        </w:rPr>
        <w:t xml:space="preserve">FCFD descontado al Kd</w:t>
      </w:r>
      <w:r>
        <w:t xml:space="preserve"> da el valor de la deuda. Y debe cumplirse que </w:t>
      </w:r>
      <w:r>
        <w:rPr>
          <w:b/>
          <w:bCs/>
        </w:rPr>
        <w:t xml:space="preserve">Equity Value = Enterprise Value − Deuda neta</w:t>
      </w:r>
      <w:r>
        <w:t xml:space="preserve">. Si esa igualdad no cierra, el modelo tiene un error de consistencia, no una opinión distinta.</w:t>
      </w:r>
    </w:p>
    <w:p>
      <w:pPr>
        <w:pStyle w:val="Heading2"/>
        <w:spacing w:after="100" w:before="220"/>
      </w:pPr>
      <w:r>
        <w:t xml:space="preserve">Por qué tres tasas distintas para la misma caja</w:t>
      </w:r>
    </w:p>
    <w:p>
      <w:pPr>
        <w:spacing w:after="140" w:line="276"/>
      </w:pPr>
      <w:r>
        <w:t xml:space="preserve">Cada flujo se descuenta a una tasa distinta porque cada uno tiene un </w:t>
      </w:r>
      <w:r>
        <w:rPr>
          <w:b/>
          <w:bCs/>
        </w:rPr>
        <w:t xml:space="preserve">riesgo distinto</w:t>
      </w:r>
      <w:r>
        <w:t xml:space="preserve">, derivado de la </w:t>
      </w:r>
      <w:r>
        <w:rPr>
          <w:b/>
          <w:bCs/>
        </w:rPr>
        <w:t xml:space="preserve">jerarquía de cobro</w:t>
      </w:r>
      <w:r>
        <w:t xml:space="preserve">. El acreedor cobra primero y con menos incertidumbre: su flujo (FCFD) se descuenta al </w:t>
      </w:r>
      <w:r>
        <w:rPr>
          <w:b/>
          <w:bCs/>
        </w:rPr>
        <w:t xml:space="preserve">Kd</w:t>
      </w:r>
      <w:r>
        <w:t xml:space="preserve">, la tasa más baja. El accionista cobra último, lo que sobra: su flujo (FCFE) es el más riesgoso y se descuenta al </w:t>
      </w:r>
      <w:r>
        <w:rPr>
          <w:b/>
          <w:bCs/>
        </w:rPr>
        <w:t xml:space="preserve">Ke</w:t>
      </w:r>
      <w:r>
        <w:t xml:space="preserve">, la tasa más alta. El flujo total de la firma (FCFF) se descuenta al </w:t>
      </w:r>
      <w:r>
        <w:rPr>
          <w:b/>
          <w:bCs/>
        </w:rPr>
        <w:t xml:space="preserve">WACC</w:t>
      </w:r>
      <w:r>
        <w:t xml:space="preserve">, que es el promedio ponderado de ambas tasas.</w:t>
      </w:r>
    </w:p>
    <w:p>
      <w:pPr>
        <w:spacing w:after="140" w:line="276"/>
      </w:pPr>
      <w:r>
        <w:t xml:space="preserve">La coherencia entre las tres tasas y los tres flujos es lo que hace que el modelo "cierre" tanto en flujos como en valores. Un error frecuente es descontar el FCFE al WACC, o el FCFF al Ke: mezclar el flujo de un público con la tasa de otro rompe la reconciliación y produce valuaciones infladas o deprimidas sin sentido económico.</w:t>
      </w:r>
    </w:p>
    <w:p>
      <w:pPr>
        <w:pStyle w:val="Heading2"/>
        <w:spacing w:after="100" w:before="220"/>
      </w:pPr>
      <w:r>
        <w:t xml:space="preserve">Interrelación: la reconciliación como puente al valor</w:t>
      </w:r>
    </w:p>
    <w:p>
      <w:pPr>
        <w:spacing w:after="140" w:line="276"/>
      </w:pPr>
      <w:r>
        <w:t xml:space="preserve">La reconciliación de flujos es el puente que une toda la semana con la valuación integral de la Semana 12. El </w:t>
      </w:r>
      <w:r>
        <w:rPr>
          <w:b/>
          <w:bCs/>
        </w:rPr>
        <w:t xml:space="preserve">FCFF</w:t>
      </w:r>
      <w:r>
        <w:t xml:space="preserve"> del ítem 1 alimenta el Enterprise Value; el </w:t>
      </w:r>
      <w:r>
        <w:rPr>
          <w:b/>
          <w:bCs/>
        </w:rPr>
        <w:t xml:space="preserve">FCFE</w:t>
      </w:r>
      <w:r>
        <w:t xml:space="preserve"> del ítem 2, el Equity Value; el </w:t>
      </w:r>
      <w:r>
        <w:rPr>
          <w:b/>
          <w:bCs/>
        </w:rPr>
        <w:t xml:space="preserve">FCFD</w:t>
      </w:r>
      <w:r>
        <w:t xml:space="preserve"> del ítem 3, el valor de la deuda; y el </w:t>
      </w:r>
      <w:r>
        <w:rPr>
          <w:b/>
          <w:bCs/>
        </w:rPr>
        <w:t xml:space="preserve">CFROI</w:t>
      </w:r>
      <w:r>
        <w:t xml:space="preserve"> del ítem 4 verifica que la rentabilidad real sostiene esos valores. Todo converge en la pregunta maestra: ¿la empresa crea o destruye valor?</w:t>
      </w:r>
    </w:p>
    <w:p>
      <w:pPr>
        <w:spacing w:after="140" w:line="276"/>
      </w:pPr>
      <w:r>
        <w:rPr>
          <w:b/>
          <w:bCs/>
        </w:rPr>
        <w:t xml:space="preserve">Interrelación clave:</w:t>
      </w:r>
      <w:r>
        <w:t xml:space="preserve"> en Andina, la reconciliación cuenta una historia brutal. El FCFF es magro o negativo (la operación no genera caja por el ΔCapital de Trabajo); el FCFD es grande (los bancos se llevan los intereses de la deuda cara); y por diferencia, el FCFE que llega al dueño es negativo. La identidad FCFF = FCFE + FCFD no solo verifica el modelo: revela quién se queda con la caja del negocio. En Andina, los acreedores; el dueño, nada.</w:t>
      </w:r>
    </w:p>
    <w:p>
      <w:pPr>
        <w:pStyle w:val="Heading2"/>
        <w:spacing w:after="100" w:before="220"/>
      </w:pPr>
      <w:r>
        <w:t xml:space="preserve">El modelo: variables y fórmulas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0B1120" w:color="0B1120" w:val="solid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Variable de entrada</w:t>
            </w:r>
          </w:p>
        </w:tc>
        <w:tc>
          <w:tcPr>
            <w:shd w:fill="0B1120" w:color="0B1120" w:val="solid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Valor base</w:t>
            </w:r>
          </w:p>
        </w:tc>
      </w:tr>
      <w:tr>
        <w:tc>
          <w:p>
            <w:pPr>
              <w:jc w:val="left"/>
            </w:pPr>
            <w:r>
              <w:rPr>
                <w:sz w:val="18"/>
                <w:szCs w:val="18"/>
              </w:rPr>
              <w:t xml:space="preserve">FCFF (flujo de la firma)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-330.5</w:t>
            </w:r>
          </w:p>
        </w:tc>
      </w:tr>
      <w:tr>
        <w:tc>
          <w:p>
            <w:pPr>
              <w:jc w:val="left"/>
            </w:pPr>
            <w:r>
              <w:rPr>
                <w:sz w:val="18"/>
                <w:szCs w:val="18"/>
              </w:rPr>
              <w:t xml:space="preserve">Intereses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560</w:t>
            </w:r>
          </w:p>
        </w:tc>
      </w:tr>
      <w:tr>
        <w:tc>
          <w:p>
            <w:pPr>
              <w:jc w:val="left"/>
            </w:pPr>
            <w:r>
              <w:rPr>
                <w:sz w:val="18"/>
                <w:szCs w:val="18"/>
              </w:rPr>
              <w:t xml:space="preserve">Tasa de impuesto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0.35</w:t>
            </w:r>
          </w:p>
        </w:tc>
      </w:tr>
      <w:tr>
        <w:tc>
          <w:p>
            <w:pPr>
              <w:jc w:val="left"/>
            </w:pPr>
            <w:r>
              <w:rPr>
                <w:sz w:val="18"/>
                <w:szCs w:val="18"/>
              </w:rPr>
              <w:t xml:space="preserve">Nueva deuda tomada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230</w:t>
            </w:r>
          </w:p>
        </w:tc>
      </w:tr>
      <w:tr>
        <w:tc>
          <w:p>
            <w:pPr>
              <w:jc w:val="left"/>
            </w:pPr>
            <w:r>
              <w:rPr>
                <w:sz w:val="18"/>
                <w:szCs w:val="18"/>
              </w:rPr>
              <w:t xml:space="preserve">Amortización de deuda (capital)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150</w:t>
            </w:r>
          </w:p>
        </w:tc>
      </w:tr>
    </w:tbl>
    <w:p>
      <w:pPr>
        <w:spacing w:after="100"/>
      </w:pP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0B1120" w:color="0B1120" w:val="solid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Indicador calculado</w:t>
            </w:r>
          </w:p>
        </w:tc>
        <w:tc>
          <w:tcPr>
            <w:shd w:fill="0B1120" w:color="0B1120" w:val="solid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Fórmula</w:t>
            </w:r>
          </w:p>
        </w:tc>
      </w:tr>
      <w:tr>
        <w:tc>
          <w:p>
            <w:pPr>
              <w:jc w:val="left"/>
            </w:pPr>
            <w:r>
              <w:rPr>
                <w:sz w:val="18"/>
                <w:szCs w:val="18"/>
              </w:rPr>
              <w:t xml:space="preserve">Intereses después de impuesto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intereses*(1-tax)</w:t>
            </w:r>
          </w:p>
        </w:tc>
      </w:tr>
      <w:tr>
        <w:tc>
          <w:p>
            <w:pPr>
              <w:jc w:val="left"/>
            </w:pPr>
            <w:r>
              <w:rPr>
                <w:sz w:val="18"/>
                <w:szCs w:val="18"/>
              </w:rPr>
              <w:t xml:space="preserve">Δ Deuda neta (nueva − amortización)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deudaNueva-amortDeuda</w:t>
            </w:r>
          </w:p>
        </w:tc>
      </w:tr>
      <w:tr>
        <w:tc>
          <w:p>
            <w:pPr>
              <w:jc w:val="left"/>
            </w:pPr>
            <w:r>
              <w:rPr>
                <w:sz w:val="18"/>
                <w:szCs w:val="18"/>
              </w:rPr>
              <w:t xml:space="preserve">FCFE (accionista)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fcff-intNetos+dDeuda</w:t>
            </w:r>
          </w:p>
        </w:tc>
      </w:tr>
      <w:tr>
        <w:tc>
          <w:p>
            <w:pPr>
              <w:jc w:val="left"/>
            </w:pPr>
            <w:r>
              <w:rPr>
                <w:sz w:val="18"/>
                <w:szCs w:val="18"/>
              </w:rPr>
              <w:t xml:space="preserve">FCFD (acreedor)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intNetos+amortDeuda-deudaNueva</w:t>
            </w:r>
          </w:p>
        </w:tc>
      </w:tr>
      <w:tr>
        <w:tc>
          <w:p>
            <w:pPr>
              <w:jc w:val="left"/>
            </w:pPr>
            <w:r>
              <w:rPr>
                <w:sz w:val="18"/>
                <w:szCs w:val="18"/>
              </w:rPr>
              <w:t xml:space="preserve">FCFE + FCFD (debe igualar al FCFF)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fcfe+fcfd</w:t>
            </w:r>
          </w:p>
        </w:tc>
      </w:tr>
    </w:tbl>
    <w:p>
      <w:pPr>
        <w:spacing w:before="160"/>
      </w:pPr>
      <w:r>
        <w:t xml:space="preserve">Abrí el </w:t>
      </w:r>
      <w:r>
        <w:rPr>
          <w:b/>
          <w:bCs/>
        </w:rPr>
        <w:t xml:space="preserve">modelo interactivo</w:t>
      </w:r>
      <w:r>
        <w:t xml:space="preserve"> de este ítem en la plataforma para mover las variables en vivo, y usá el Excel para construir tu propio caso con matrices dinámicas.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rPr>
      <w:b/>
      <w:bCs/>
      <w:color w:val="0B1120"/>
      <w:sz w:val="36"/>
      <w:szCs w:val="36"/>
    </w:rPr>
  </w:style>
  <w:style w:type="paragraph" w:styleId="Heading2">
    <w:name w:val="Heading 2"/>
    <w:pPr>
      <w:spacing w:after="100" w:before="200"/>
    </w:pPr>
    <w:rPr>
      <w:b/>
      <w:bCs/>
      <w:color w:val="94741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2026-06-24T11:50:52.477Z</dcterms:created>
  <dcterms:modified xsi:type="dcterms:W3CDTF">2026-06-24T11:50:52.477Z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