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4AF37"/>
          <w:sz w:val="18"/>
          <w:szCs w:val="18"/>
        </w:rPr>
        <w:t xml:space="preserve">ACADEMIA FC + IA · Semana 7</w:t>
      </w:r>
    </w:p>
    <w:p>
      <w:pPr>
        <w:pStyle w:val="Title"/>
        <w:spacing w:after="40"/>
      </w:pPr>
      <w:r>
        <w:t xml:space="preserve">Ítem 5. Proveedores como financiamiento NO oneroso</w:t>
      </w:r>
    </w:p>
    <w:p>
      <w:pPr>
        <w:spacing w:after="40"/>
      </w:pPr>
      <w:r>
        <w:rPr>
          <w:i/>
          <w:iCs/>
          <w:color w:val="555555"/>
          <w:sz w:val="22"/>
          <w:szCs w:val="22"/>
        </w:rPr>
        <w:t xml:space="preserve">Estirar el DPO sin costo: el "buen" pasivo del capital de trabajo</w:t>
      </w:r>
    </w:p>
    <w:p>
      <w:pPr>
        <w:spacing w:after="160"/>
      </w:pPr>
      <w:r>
        <w:rPr>
          <w:b/>
          <w:bCs/>
          <w:color w:val="94741F"/>
          <w:sz w:val="18"/>
          <w:szCs w:val="18"/>
        </w:rPr>
        <w:t xml:space="preserve">Marco: Capital de trabajo · financiamiento espontáneo</w:t>
      </w:r>
    </w:p>
    <w:p>
      <w:pPr>
        <w:pStyle w:val="Heading2"/>
        <w:spacing w:after="100" w:before="220"/>
      </w:pPr>
      <w:r>
        <w:t xml:space="preserve">El pasivo que no cobra interés</w:t>
      </w:r>
    </w:p>
    <w:p>
      <w:pPr>
        <w:spacing w:after="140" w:line="276"/>
      </w:pPr>
      <w:r>
        <w:t xml:space="preserve">No todos los pasivos son iguales. El descubierto, los préstamos y los cheques descontados son </w:t>
      </w:r>
      <w:r>
        <w:rPr>
          <w:b/>
          <w:bCs/>
        </w:rPr>
        <w:t xml:space="preserve">deuda onerosa</w:t>
      </w:r>
      <w:r>
        <w:t xml:space="preserve">: cobran tasa, y en una economía emergente esa tasa es brutal. Los </w:t>
      </w:r>
      <w:r>
        <w:rPr>
          <w:b/>
          <w:bCs/>
        </w:rPr>
        <w:t xml:space="preserve">proveedores comerciales</w:t>
      </w:r>
      <w:r>
        <w:t xml:space="preserve">, en cambio, son </w:t>
      </w:r>
      <w:r>
        <w:rPr>
          <w:b/>
          <w:bCs/>
        </w:rPr>
        <w:t xml:space="preserve">financiamiento NO oneroso</w:t>
      </w:r>
      <w:r>
        <w:t xml:space="preserve">: si pagás a 60 o 90 días sin recargo, el proveedor te está financiando la operación </w:t>
      </w:r>
      <w:r>
        <w:rPr>
          <w:b/>
          <w:bCs/>
        </w:rPr>
        <w:t xml:space="preserve">gratis</w:t>
      </w:r>
      <w:r>
        <w:t xml:space="preserve">. Es el "buen" pasivo, el que conviene maximizar antes de tocar el banco.</w:t>
      </w:r>
    </w:p>
    <w:p>
      <w:pPr>
        <w:spacing w:after="140" w:line="276"/>
      </w:pPr>
      <w:r>
        <w:t xml:space="preserve">Estirar el </w:t>
      </w:r>
      <w:r>
        <w:rPr>
          <w:b/>
          <w:bCs/>
        </w:rPr>
        <w:t xml:space="preserve">DPO</w:t>
      </w:r>
      <w:r>
        <w:t xml:space="preserve"> (ítem 1) dentro del plazo pactado libera caja sin costo financiero: cada día más de plazo de proveedor es un día menos de descubierto al 85%. En </w:t>
      </w:r>
      <w:r>
        <w:rPr>
          <w:b/>
          <w:bCs/>
        </w:rPr>
        <w:t xml:space="preserve">Andina</w:t>
      </w:r>
      <w:r>
        <w:t xml:space="preserve">, los proveedores comerciales (1280) son justamente el componente que la nota del balance marca como "el buen pasivo si se negocia bien", frente al descubierto caro (540 al 85%) que tapa los baches de caja.</w:t>
      </w:r>
    </w:p>
    <w:p>
      <w:pPr>
        <w:spacing w:after="140" w:line="276"/>
      </w:pPr>
      <w:r>
        <w:t xml:space="preserve">La clave es que este financiamiento es </w:t>
      </w:r>
      <w:r>
        <w:rPr>
          <w:b/>
          <w:bCs/>
        </w:rPr>
        <w:t xml:space="preserve">espontáneo</w:t>
      </w:r>
      <w:r>
        <w:t xml:space="preserve">: crece naturalmente con la operación (a más compras, más proveedores), no requiere garantías ni trámite bancario, y sustituye deuda cara. Por eso negociar plazo con proveedores suele ser la fuente de financiamiento más barata y subutilizada de una PyME.</w:t>
      </w:r>
    </w:p>
    <w:p>
      <w:pPr>
        <w:pStyle w:val="Heading2"/>
        <w:spacing w:after="100" w:before="220"/>
      </w:pPr>
      <w:r>
        <w:t xml:space="preserve">El límite: cuándo estirar deja de ser gratis</w:t>
      </w:r>
    </w:p>
    <w:p>
      <w:pPr>
        <w:spacing w:after="140" w:line="276"/>
      </w:pPr>
      <w:r>
        <w:t xml:space="preserve">El financiamiento de proveedores es gratis </w:t>
      </w:r>
      <w:r>
        <w:rPr>
          <w:b/>
          <w:bCs/>
        </w:rPr>
        <w:t xml:space="preserve">solo si no hay penalidad</w:t>
      </w:r>
      <w:r>
        <w:t xml:space="preserve">. Muchos proveedores ofrecen un </w:t>
      </w:r>
      <w:r>
        <w:rPr>
          <w:b/>
          <w:bCs/>
        </w:rPr>
        <w:t xml:space="preserve">descuento por pronto pago</w:t>
      </w:r>
      <w:r>
        <w:t xml:space="preserve"> (por ejemplo, 2% si pagás a 10 días en vez de a 60). Renunciar a ese descuento para estirar el pago </w:t>
      </w:r>
      <w:r>
        <w:rPr>
          <w:b/>
          <w:bCs/>
        </w:rPr>
        <w:t xml:space="preserve">tiene un costo implícito</w:t>
      </w:r>
      <w:r>
        <w:t xml:space="preserve">, y suele ser altísimo en tasa anualizada: el costo de oportunidad de no aprovechar el descuento.</w:t>
      </w:r>
    </w:p>
    <w:p>
      <w:pPr>
        <w:spacing w:after="140" w:line="276"/>
      </w:pPr>
      <w:r>
        <w:t xml:space="preserve">La fórmula del </w:t>
      </w:r>
      <w:r>
        <w:rPr>
          <w:b/>
          <w:bCs/>
        </w:rPr>
        <w:t xml:space="preserve">costo de renunciar al descuento</w:t>
      </w:r>
      <w:r>
        <w:t xml:space="preserve"> es: [descuento / (1 − descuento)] × [365 / (plazo total − plazo pronto pago)]. Un 2% por pagar 50 días antes equivale a una tasa anual del orden del </w:t>
      </w:r>
      <w:r>
        <w:rPr>
          <w:b/>
          <w:bCs/>
        </w:rPr>
        <w:t xml:space="preserve">37%</w:t>
      </w:r>
      <w:r>
        <w:t xml:space="preserve">. Si esa tasa es </w:t>
      </w:r>
      <w:r>
        <w:rPr>
          <w:b/>
          <w:bCs/>
        </w:rPr>
        <w:t xml:space="preserve">menor</w:t>
      </w:r>
      <w:r>
        <w:t xml:space="preserve"> que la del descubierto, conviene tomar el descuento (financiarse con el banco sale más caro); si es </w:t>
      </w:r>
      <w:r>
        <w:rPr>
          <w:b/>
          <w:bCs/>
        </w:rPr>
        <w:t xml:space="preserve">mayor</w:t>
      </w:r>
      <w:r>
        <w:t xml:space="preserve">, conviene estirar el pago y resignar el descuento.</w:t>
      </w:r>
    </w:p>
    <w:p>
      <w:pPr>
        <w:spacing w:after="140" w:line="276"/>
      </w:pPr>
      <w:r>
        <w:t xml:space="preserve">Ese es el verdadero análisis: comparar el </w:t>
      </w:r>
      <w:r>
        <w:rPr>
          <w:b/>
          <w:bCs/>
        </w:rPr>
        <w:t xml:space="preserve">costo implícito de estirar</w:t>
      </w:r>
      <w:r>
        <w:t xml:space="preserve"> (perder el descuento) contra el </w:t>
      </w:r>
      <w:r>
        <w:rPr>
          <w:b/>
          <w:bCs/>
        </w:rPr>
        <w:t xml:space="preserve">costo de la deuda onerosa</w:t>
      </w:r>
      <w:r>
        <w:t xml:space="preserve"> que se evita. El DPO se estira hasta el punto donde el financiamiento de proveedores deja de ser más barato que la alternativa, no un día más, para no dañar la relación comercial ni el crédito.</w:t>
      </w:r>
    </w:p>
    <w:p>
      <w:pPr>
        <w:pStyle w:val="Heading2"/>
        <w:spacing w:after="100" w:before="220"/>
      </w:pPr>
      <w:r>
        <w:t xml:space="preserve">Interrelaciones y errores frecuentes</w:t>
      </w:r>
    </w:p>
    <w:p>
      <w:pPr>
        <w:spacing w:after="140" w:line="276"/>
      </w:pPr>
      <w:r>
        <w:rPr>
          <w:b/>
          <w:bCs/>
        </w:rPr>
        <w:t xml:space="preserve">Interrelación clave:</w:t>
      </w:r>
      <w:r>
        <w:t xml:space="preserve"> subir el DPO (ítem 1) baja el </w:t>
      </w:r>
      <w:r>
        <w:rPr>
          <w:b/>
          <w:bCs/>
        </w:rPr>
        <w:t xml:space="preserve">CCE</w:t>
      </w:r>
      <w:r>
        <w:t xml:space="preserve"> (ítem 2) restando días, libera capital de trabajo y reduce la deuda onerosa, bajando el costo financiero que en Andina se "come" la utilidad (intereses de 560 sobre un EBIT de 830). Menos capital de trabajo financiado con descubierto significa mayor ROIC y mejor spread ROIC − WACC (Semana 9).</w:t>
      </w:r>
    </w:p>
    <w:p>
      <w:pPr>
        <w:spacing w:after="140" w:line="276"/>
      </w:pPr>
      <w:r>
        <w:rPr>
          <w:b/>
          <w:bCs/>
        </w:rPr>
        <w:t xml:space="preserve">Errores frecuentes:</w:t>
      </w:r>
      <w:r>
        <w:t xml:space="preserve"> estirar a ciegas resignando descuentos jugosos (financiarse con proveedores caros sin darse cuenta); pagar siempre al contado "por las dudas" desperdiciando financiamiento gratis; y no diferenciar el pasivo oneroso del no oneroso al mirar el endeudamiento total. El objetivo no es deber menos: es deber </w:t>
      </w:r>
      <w:r>
        <w:rPr>
          <w:b/>
          <w:bCs/>
        </w:rPr>
        <w:t xml:space="preserve">barato</w:t>
      </w:r>
      <w:r>
        <w:t xml:space="preserve"> y cobrar </w:t>
      </w:r>
      <w:r>
        <w:rPr>
          <w:b/>
          <w:bCs/>
        </w:rPr>
        <w:t xml:space="preserve">rápido</w:t>
      </w:r>
      <w:r>
        <w:t xml:space="preserve">.</w:t>
      </w:r>
    </w:p>
    <w:p>
      <w:pPr>
        <w:pStyle w:val="Heading2"/>
        <w:spacing w:after="100" w:before="220"/>
      </w:pPr>
      <w:r>
        <w:t xml:space="preserve">El modelo: variables y fórmulas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Variable de entrada</w:t>
            </w:r>
          </w:p>
        </w:tc>
        <w:tc>
          <w:tcPr>
            <w:shd w:fill="0B1120" w:color="0B1120" w:val="solid"/>
          </w:tcPr>
          <w:p>
            <w:r>
              <w:rPr>
                <w:b/>
                <w:bCs/>
                <w:color w:val="FFFFFF"/>
                <w:sz w:val="18"/>
                <w:szCs w:val="18"/>
              </w:rPr>
              <w:t xml:space="preserve">Valor base</w:t>
            </w:r>
          </w:p>
        </w:tc>
      </w:tr>
      <w:tr>
        <w:tc>
          <w:p>
            <w:pPr>
              <w:jc w:val="left"/>
            </w:pPr>
            <w:r>
              <w:rPr>
                <w:sz w:val="18"/>
                <w:szCs w:val="18"/>
              </w:rPr>
              <w:t xml:space="preserve">Compras anuales (a CMV)</w:t>
            </w:r>
          </w:p>
        </w:tc>
        <w:tc>
          <w:p>
            <w:pPr>
              <w:jc w:val="right"/>
            </w:pPr>
            <w:r>
              <w:rPr>
                <w:sz w:val="18"/>
                <w:szCs w:val="18"/>
              </w:rPr>
              <w:t xml:space="preserve">5740</w:t>
            </w:r>
          </w:p>
        </w:tc>
      </w:tr>
      <w:tr>
        <w:tc>
          <w:p>
            <w:pPr>
              <w:jc w:val="left"/>
            </w:pPr>
            <w:r>
              <w:rPr>
                <w:sz w:val="18"/>
                <w:szCs w:val="18"/>
              </w:rPr>
              <w:t xml:space="preserve">DPO actual (días de pago)</w:t>
            </w:r>
          </w:p>
        </w:tc>
        <w:tc>
          <w:p>
            <w:pPr>
              <w:jc w:val="right"/>
            </w:pPr>
            <w:r>
              <w:rPr>
                <w:sz w:val="18"/>
                <w:szCs w:val="18"/>
              </w:rPr>
              <w:t xml:space="preserve">81</w:t>
            </w:r>
          </w:p>
        </w:tc>
      </w:tr>
      <w:tr>
        <w:tc>
          <w:p>
            <w:pPr>
              <w:jc w:val="left"/>
            </w:pPr>
            <w:r>
              <w:rPr>
                <w:sz w:val="18"/>
                <w:szCs w:val="18"/>
              </w:rPr>
              <w:t xml:space="preserve">DPO objetivo (días)</w:t>
            </w:r>
          </w:p>
        </w:tc>
        <w:tc>
          <w:p>
            <w:pPr>
              <w:jc w:val="right"/>
            </w:pPr>
            <w:r>
              <w:rPr>
                <w:sz w:val="18"/>
                <w:szCs w:val="18"/>
              </w:rPr>
              <w:t xml:space="preserve">110</w:t>
            </w:r>
          </w:p>
        </w:tc>
      </w:tr>
      <w:tr>
        <w:tc>
          <w:p>
            <w:pPr>
              <w:jc w:val="left"/>
            </w:pPr>
            <w:r>
              <w:rPr>
                <w:sz w:val="18"/>
                <w:szCs w:val="18"/>
              </w:rPr>
              <w:t xml:space="preserve">Descuento por pronto pago</w:t>
            </w:r>
          </w:p>
        </w:tc>
        <w:tc>
          <w:p>
            <w:pPr>
              <w:jc w:val="right"/>
            </w:pPr>
            <w:r>
              <w:rPr>
                <w:sz w:val="18"/>
                <w:szCs w:val="18"/>
              </w:rPr>
              <w:t xml:space="preserve">0.02</w:t>
            </w:r>
          </w:p>
        </w:tc>
      </w:tr>
      <w:tr>
        <w:tc>
          <w:p>
            <w:pPr>
              <w:jc w:val="left"/>
            </w:pPr>
            <w:r>
              <w:rPr>
                <w:sz w:val="18"/>
                <w:szCs w:val="18"/>
              </w:rPr>
              <w:t xml:space="preserve">Plazo de pronto pago (días)</w:t>
            </w:r>
          </w:p>
        </w:tc>
        <w:tc>
          <w:p>
            <w:pPr>
              <w:jc w:val="right"/>
            </w:pPr>
            <w:r>
              <w:rPr>
                <w:sz w:val="18"/>
                <w:szCs w:val="18"/>
              </w:rPr>
              <w:t xml:space="preserve">10</w:t>
            </w:r>
          </w:p>
        </w:tc>
      </w:tr>
      <w:tr>
        <w:tc>
          <w:p>
            <w:pPr>
              <w:jc w:val="left"/>
            </w:pPr>
            <w:r>
              <w:rPr>
                <w:sz w:val="18"/>
                <w:szCs w:val="18"/>
              </w:rPr>
              <w:t xml:space="preserve">Plazo total ofrecido (días)</w:t>
            </w:r>
          </w:p>
        </w:tc>
        <w:tc>
          <w:p>
            <w:pPr>
              <w:jc w:val="right"/>
            </w:pPr>
            <w:r>
              <w:rPr>
                <w:sz w:val="18"/>
                <w:szCs w:val="18"/>
              </w:rPr>
              <w:t xml:space="preserve">60</w:t>
            </w:r>
          </w:p>
        </w:tc>
      </w:tr>
      <w:tr>
        <w:tc>
          <w:p>
            <w:pPr>
              <w:jc w:val="left"/>
            </w:pPr>
            <w:r>
              <w:rPr>
                <w:sz w:val="18"/>
                <w:szCs w:val="18"/>
              </w:rPr>
              <w:t xml:space="preserve">Costo del descubierto (TNA)</w:t>
            </w:r>
          </w:p>
        </w:tc>
        <w:tc>
          <w:p>
            <w:pPr>
              <w:jc w:val="right"/>
            </w:pPr>
            <w:r>
              <w:rPr>
                <w:sz w:val="18"/>
                <w:szCs w:val="18"/>
              </w:rPr>
              <w:t xml:space="preserve">0.85</w:t>
            </w:r>
          </w:p>
        </w:tc>
      </w:tr>
    </w:tbl>
    <w:p>
      <w:pPr>
        <w:spacing w:after="10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Indicador calculado</w:t>
            </w:r>
          </w:p>
        </w:tc>
        <w:tc>
          <w:tcPr>
            <w:shd w:fill="0B1120" w:color="0B1120" w:val="solid"/>
          </w:tcPr>
          <w:p>
            <w:r>
              <w:rPr>
                <w:b/>
                <w:bCs/>
                <w:color w:val="FFFFFF"/>
                <w:sz w:val="18"/>
                <w:szCs w:val="18"/>
              </w:rPr>
              <w:t xml:space="preserve">Fórmula</w:t>
            </w:r>
          </w:p>
        </w:tc>
      </w:tr>
      <w:tr>
        <w:tc>
          <w:p>
            <w:pPr>
              <w:jc w:val="left"/>
            </w:pPr>
            <w:r>
              <w:rPr>
                <w:sz w:val="18"/>
                <w:szCs w:val="18"/>
              </w:rPr>
              <w:t xml:space="preserve">Caja liberada por estirar el DPO</w:t>
            </w:r>
          </w:p>
        </w:tc>
        <w:tc>
          <w:p>
            <w:pPr>
              <w:jc w:val="right"/>
            </w:pPr>
            <w:r>
              <w:rPr>
                <w:sz w:val="18"/>
                <w:szCs w:val="18"/>
              </w:rPr>
              <w:t xml:space="preserve">(dpoObjetivo-dpoActual)/365*compras</w:t>
            </w:r>
          </w:p>
        </w:tc>
      </w:tr>
      <w:tr>
        <w:tc>
          <w:p>
            <w:pPr>
              <w:jc w:val="left"/>
            </w:pPr>
            <w:r>
              <w:rPr>
                <w:sz w:val="18"/>
                <w:szCs w:val="18"/>
              </w:rPr>
              <w:t xml:space="preserve">Ahorro financiero anual (vs descubierto)</w:t>
            </w:r>
          </w:p>
        </w:tc>
        <w:tc>
          <w:p>
            <w:pPr>
              <w:jc w:val="right"/>
            </w:pPr>
            <w:r>
              <w:rPr>
                <w:sz w:val="18"/>
                <w:szCs w:val="18"/>
              </w:rPr>
              <w:t xml:space="preserve">cajaLiberada*tasaDesc</w:t>
            </w:r>
          </w:p>
        </w:tc>
      </w:tr>
      <w:tr>
        <w:tc>
          <w:p>
            <w:pPr>
              <w:jc w:val="left"/>
            </w:pPr>
            <w:r>
              <w:rPr>
                <w:sz w:val="18"/>
                <w:szCs w:val="18"/>
              </w:rPr>
              <w:t xml:space="preserve">Costo implícito de resignar el descuento</w:t>
            </w:r>
          </w:p>
        </w:tc>
        <w:tc>
          <w:p>
            <w:pPr>
              <w:jc w:val="right"/>
            </w:pPr>
            <w:r>
              <w:rPr>
                <w:sz w:val="18"/>
                <w:szCs w:val="18"/>
              </w:rPr>
              <w:t xml:space="preserve">descuento/(1-descuento)*(365/(plazoTotal-plazoPP))</w:t>
            </w:r>
          </w:p>
        </w:tc>
      </w:tr>
    </w:tbl>
    <w:p>
      <w:pPr>
        <w:spacing w:before="160"/>
      </w:pPr>
      <w:r>
        <w:t xml:space="preserve">Abrí el </w:t>
      </w:r>
      <w:r>
        <w:rPr>
          <w:b/>
          <w:bCs/>
        </w:rPr>
        <w:t xml:space="preserve">modelo interactivo</w:t>
      </w:r>
      <w:r>
        <w:t xml:space="preserve"> de este ítem en la plataforma para mover las variables en vivo, y usá el Excel para construir tu propio caso con matrices dinámicas.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b/>
      <w:bCs/>
      <w:color w:val="0B1120"/>
      <w:sz w:val="36"/>
      <w:szCs w:val="36"/>
    </w:rPr>
  </w:style>
  <w:style w:type="paragraph" w:styleId="Heading2">
    <w:name w:val="Heading 2"/>
    <w:pPr>
      <w:spacing w:after="100" w:before="200"/>
    </w:pPr>
    <w:rPr>
      <w:b/>
      <w:bCs/>
      <w:color w:val="9474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2026-06-24T11:50:52.552Z</dcterms:created>
  <dcterms:modified xsi:type="dcterms:W3CDTF">2026-06-24T11:50:52.552Z</dcterms:modified>
</cp:coreProperties>
</file>

<file path=docProps/custom.xml><?xml version="1.0" encoding="utf-8"?>
<Properties xmlns="http://schemas.openxmlformats.org/officeDocument/2006/custom-properties" xmlns:vt="http://schemas.openxmlformats.org/officeDocument/2006/docPropsVTypes"/>
</file>