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D4AF37"/>
          <w:sz w:val="18"/>
          <w:szCs w:val="18"/>
        </w:rPr>
        <w:t xml:space="preserve">ACADEMIA FC + IA · Semana 8</w:t>
      </w:r>
    </w:p>
    <w:p>
      <w:pPr>
        <w:pStyle w:val="Title"/>
        <w:spacing w:after="40"/>
      </w:pPr>
      <w:r>
        <w:t xml:space="preserve">Ítem 4. Tasa de reinversión y crecimiento</w:t>
      </w:r>
    </w:p>
    <w:p>
      <w:pPr>
        <w:spacing w:after="40"/>
      </w:pPr>
      <w:r>
        <w:rPr>
          <w:i/>
          <w:iCs/>
          <w:color w:val="555555"/>
          <w:sz w:val="22"/>
          <w:szCs w:val="22"/>
        </w:rPr>
        <w:t xml:space="preserve">La identidad g = RONIC × tasa de reinversión</w:t>
      </w:r>
    </w:p>
    <w:p>
      <w:pPr>
        <w:spacing w:after="160"/>
      </w:pPr>
      <w:r>
        <w:rPr>
          <w:b/>
          <w:bCs/>
          <w:color w:val="94741F"/>
          <w:sz w:val="18"/>
          <w:szCs w:val="18"/>
        </w:rPr>
        <w:t xml:space="preserve">Marco: ronic · identidad de crecimiento</w:t>
      </w:r>
    </w:p>
    <w:p>
      <w:pPr>
        <w:pStyle w:val="Heading2"/>
        <w:spacing w:after="100" w:before="220"/>
      </w:pPr>
      <w:r>
        <w:t xml:space="preserve">El crecimiento no se desea: se financia</w:t>
      </w:r>
    </w:p>
    <w:p>
      <w:pPr>
        <w:spacing w:after="140" w:line="276"/>
      </w:pPr>
      <w:r>
        <w:t xml:space="preserve">El crecimiento no es una aspiración: es el </w:t>
      </w:r>
      <w:r>
        <w:rPr>
          <w:b/>
          <w:bCs/>
        </w:rPr>
        <w:t xml:space="preserve">resultado mecánico</w:t>
      </w:r>
      <w:r>
        <w:t xml:space="preserve"> de reinvertir capital a cierto retorno. La </w:t>
      </w:r>
      <w:r>
        <w:rPr>
          <w:b/>
          <w:bCs/>
        </w:rPr>
        <w:t xml:space="preserve">identidad de crecimiento</w:t>
      </w:r>
      <w:r>
        <w:t xml:space="preserve"> del modelo de McKinsey lo formaliza: </w:t>
      </w:r>
      <w:r>
        <w:rPr>
          <w:b/>
          <w:bCs/>
        </w:rPr>
        <w:t xml:space="preserve">g = RONIC × IR</w:t>
      </w:r>
      <w:r>
        <w:t xml:space="preserve">, donde </w:t>
      </w:r>
      <w:r>
        <w:rPr>
          <w:b/>
          <w:bCs/>
        </w:rPr>
        <w:t xml:space="preserve">g</w:t>
      </w:r>
      <w:r>
        <w:t xml:space="preserve"> es la tasa de crecimiento del NOPAT y </w:t>
      </w:r>
      <w:r>
        <w:rPr>
          <w:b/>
          <w:bCs/>
        </w:rPr>
        <w:t xml:space="preserve">IR</w:t>
      </w:r>
      <w:r>
        <w:t xml:space="preserve"> es la </w:t>
      </w:r>
      <w:r>
        <w:rPr>
          <w:b/>
          <w:bCs/>
        </w:rPr>
        <w:t xml:space="preserve">tasa de reinversión</w:t>
      </w:r>
      <w:r>
        <w:t xml:space="preserve"> (= inversión neta / NOPAT, la fracción del resultado operativo que se vuelve a poner a trabajar en lugar de distribuirse).</w:t>
      </w:r>
    </w:p>
    <w:p>
      <w:pPr>
        <w:spacing w:after="140" w:line="276"/>
      </w:pPr>
      <w:r>
        <w:t xml:space="preserve">La lectura es potente: para crecer a una tasa </w:t>
      </w:r>
      <w:r>
        <w:rPr>
          <w:b/>
          <w:bCs/>
        </w:rPr>
        <w:t xml:space="preserve">g</w:t>
      </w:r>
      <w:r>
        <w:t xml:space="preserve">, hay que reinvertir una fracción </w:t>
      </w:r>
      <w:r>
        <w:rPr>
          <w:b/>
          <w:bCs/>
        </w:rPr>
        <w:t xml:space="preserve">IR = g / RONIC</w:t>
      </w:r>
      <w:r>
        <w:t xml:space="preserve"> del NOPAT. Si el RONIC es alto, se necesita reinvertir poco para crecer al mismo ritmo, y queda </w:t>
      </w:r>
      <w:r>
        <w:rPr>
          <w:b/>
          <w:bCs/>
        </w:rPr>
        <w:t xml:space="preserve">más caja libre</w:t>
      </w:r>
      <w:r>
        <w:t xml:space="preserve"> (FCFF). Si el RONIC es bajo, hay que reinvertir muchísimo para lograr el mismo crecimiento, y queda poca caja. El RONIC gobierna cuánto FCFF sobrevive después de financiar el crecimiento.</w:t>
      </w:r>
    </w:p>
    <w:p>
      <w:pPr>
        <w:spacing w:after="140" w:line="276"/>
      </w:pPr>
      <w:r>
        <w:t xml:space="preserve">Despejando, </w:t>
      </w:r>
      <w:r>
        <w:rPr>
          <w:b/>
          <w:bCs/>
        </w:rPr>
        <w:t xml:space="preserve">FCFF = NOPAT × (1 − IR) = NOPAT × (1 − g/RONIC)</w:t>
      </w:r>
      <w:r>
        <w:t xml:space="preserve">: el término (1 − g/RONIC) es la fracción del NOPAT que </w:t>
      </w:r>
      <w:r>
        <w:rPr>
          <w:b/>
          <w:bCs/>
        </w:rPr>
        <w:t xml:space="preserve">no</w:t>
      </w:r>
      <w:r>
        <w:t xml:space="preserve"> hace falta reinvertir y queda libre. Esa es la bisagra del </w:t>
      </w:r>
      <w:r>
        <w:rPr>
          <w:i/>
          <w:iCs/>
        </w:rPr>
        <w:t xml:space="preserve">key value driver</w:t>
      </w:r>
      <w:r>
        <w:t xml:space="preserve">: Value = NOPAT₁ × (1 − g/RONIC) / (WACC − g). Crecimiento, reinversión, RONIC y valor son </w:t>
      </w:r>
      <w:r>
        <w:rPr>
          <w:b/>
          <w:bCs/>
        </w:rPr>
        <w:t xml:space="preserve">un solo sistema</w:t>
      </w:r>
      <w:r>
        <w:t xml:space="preserve">, no piezas sueltas.</w:t>
      </w:r>
    </w:p>
    <w:p>
      <w:pPr>
        <w:pStyle w:val="Heading2"/>
        <w:spacing w:after="100" w:before="220"/>
      </w:pPr>
      <w:r>
        <w:t xml:space="preserve">Crecimiento que crea valor vs. crecimiento que lo destruye</w:t>
      </w:r>
    </w:p>
    <w:p>
      <w:pPr>
        <w:spacing w:after="140" w:line="276"/>
      </w:pPr>
      <w:r>
        <w:t xml:space="preserve">No todo crecimiento es bueno. Si el </w:t>
      </w:r>
      <w:r>
        <w:rPr>
          <w:b/>
          <w:bCs/>
        </w:rPr>
        <w:t xml:space="preserve">RONIC &gt; WACC</w:t>
      </w:r>
      <w:r>
        <w:t xml:space="preserve">, reinvertir más (subir IR) </w:t>
      </w:r>
      <w:r>
        <w:rPr>
          <w:b/>
          <w:bCs/>
        </w:rPr>
        <w:t xml:space="preserve">crea valor</w:t>
      </w:r>
      <w:r>
        <w:t xml:space="preserve">: cada peso reinvertido rinde por encima del costo del capital. Si el </w:t>
      </w:r>
      <w:r>
        <w:rPr>
          <w:b/>
          <w:bCs/>
        </w:rPr>
        <w:t xml:space="preserve">RONIC &lt; WACC</w:t>
      </w:r>
      <w:r>
        <w:t xml:space="preserve">, reinvertir más </w:t>
      </w:r>
      <w:r>
        <w:rPr>
          <w:b/>
          <w:bCs/>
        </w:rPr>
        <w:t xml:space="preserve">destruye valor</w:t>
      </w:r>
      <w:r>
        <w:t xml:space="preserve">: conviene bajar la reinversión y </w:t>
      </w:r>
      <w:r>
        <w:rPr>
          <w:b/>
          <w:bCs/>
        </w:rPr>
        <w:t xml:space="preserve">distribuir</w:t>
      </w:r>
      <w:r>
        <w:t xml:space="preserve"> la caja. La política de dividendos no es independiente de la inversión: es el </w:t>
      </w:r>
      <w:r>
        <w:rPr>
          <w:b/>
          <w:bCs/>
        </w:rPr>
        <w:t xml:space="preserve">residuo</w:t>
      </w:r>
      <w:r>
        <w:t xml:space="preserve"> de la decisión de reinvertir solo en proyectos con spread positivo.</w:t>
      </w:r>
    </w:p>
    <w:p>
      <w:pPr>
        <w:spacing w:after="140" w:line="276"/>
      </w:pPr>
      <w:r>
        <w:t xml:space="preserve">Esto se conecta con el </w:t>
      </w:r>
      <w:r>
        <w:rPr>
          <w:b/>
          <w:bCs/>
        </w:rPr>
        <w:t xml:space="preserve">crecimiento sostenible</w:t>
      </w:r>
      <w:r>
        <w:t xml:space="preserve"> (SGR = ROE × (1 − payout)): el único crecimiento genuino es el que sale de reinvertir a RONIC &gt; WACC. Crecer endeudándose o reinvirtiendo a retornos por debajo del costo de capital es crecimiento "de cartón": agranda la empresa y la empobrece. En </w:t>
      </w:r>
      <w:r>
        <w:rPr>
          <w:b/>
          <w:bCs/>
        </w:rPr>
        <w:t xml:space="preserve">Andina</w:t>
      </w:r>
      <w:r>
        <w:t xml:space="preserve">, reinvertir agresivamente (CAPEX 440, capital de trabajo creciente) solo crea valor si el RONIC supera al WACC emergente del 20%+; si no, ese crecimiento es parte del problema.</w:t>
      </w:r>
    </w:p>
    <w:p>
      <w:pPr>
        <w:spacing w:after="140" w:line="276"/>
      </w:pPr>
      <w:r>
        <w:t xml:space="preserve">En mercados emergentes hay un matiz: el </w:t>
      </w:r>
      <w:r>
        <w:rPr>
          <w:b/>
          <w:bCs/>
        </w:rPr>
        <w:t xml:space="preserve">cepo</w:t>
      </w:r>
      <w:r>
        <w:t xml:space="preserve"> y las restricciones al giro de dividendos distorsionan la regla. En teoría, si RONIC &lt; WACC habría que distribuir; pero si la alternativa es dejar la caja en pesos licuándose o atrapada por restricciones cambiarias, a veces conviene reinvertir aun con RONIC marginal bajo, porque el retorno de la caja ociosa es todavía peor. La regla teórica se ajusta por la opción real de salida del capital.</w:t>
      </w:r>
    </w:p>
    <w:p>
      <w:pPr>
        <w:pStyle w:val="Heading2"/>
        <w:spacing w:after="100" w:before="220"/>
      </w:pPr>
      <w:r>
        <w:t xml:space="preserve">Interrelaciones y errores frecuentes</w:t>
      </w:r>
    </w:p>
    <w:p>
      <w:pPr>
        <w:spacing w:after="140" w:line="276"/>
      </w:pPr>
      <w:r>
        <w:rPr>
          <w:b/>
          <w:bCs/>
        </w:rPr>
        <w:t xml:space="preserve">Interrelación clave:</w:t>
      </w:r>
      <w:r>
        <w:t xml:space="preserve"> la tasa de reinversión usa la inversión neta del ítem 1 (CAPEX − amortización + ΔCapital de trabajo) sobre el NOPAT, y el RONIC del ítem 3. Juntos definen el </w:t>
      </w:r>
      <w:r>
        <w:rPr>
          <w:b/>
          <w:bCs/>
        </w:rPr>
        <w:t xml:space="preserve">g</w:t>
      </w:r>
      <w:r>
        <w:t xml:space="preserve"> que alimenta la valuación por perpetuidad (Semana 12) y la </w:t>
      </w:r>
      <w:r>
        <w:rPr>
          <w:b/>
          <w:bCs/>
        </w:rPr>
        <w:t xml:space="preserve">política de dividendos</w:t>
      </w:r>
      <w:r>
        <w:t xml:space="preserve"> (reinvertir mientras haya proyectos con RONIC &gt; WACC, ítem 5: el mantenimiento es obligado, la expansión es opcional).</w:t>
      </w:r>
    </w:p>
    <w:p>
      <w:pPr>
        <w:spacing w:after="140" w:line="276"/>
      </w:pPr>
      <w:r>
        <w:rPr>
          <w:b/>
          <w:bCs/>
        </w:rPr>
        <w:t xml:space="preserve">Errores frecuentes:</w:t>
      </w:r>
      <w:r>
        <w:t xml:space="preserve"> fijar una g de crecimiento "deseada" sin chequear que el RONIC la sostenga (querer crecer al 8% con un RONIC que solo banca el 3%). Reinvertir por inercia cuando el spread es negativo. Y confundir crecimiento de ventas con creación de valor: se puede crecer mucho y destruir valor si cada peso reinvertido rinde menos que el WACC.</w:t>
      </w:r>
    </w:p>
    <w:p>
      <w:pPr>
        <w:pStyle w:val="Heading2"/>
        <w:spacing w:after="100" w:before="220"/>
      </w:pPr>
      <w:r>
        <w:t xml:space="preserve">El modelo: variables y fórmulas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shd w:fill="0B1120" w:color="0B1120" w:val="solid"/>
          </w:tcPr>
          <w:p>
            <w:r>
              <w:rPr>
                <w:b/>
                <w:bCs/>
                <w:color w:val="FFFFFF"/>
                <w:sz w:val="18"/>
                <w:szCs w:val="18"/>
              </w:rPr>
              <w:t xml:space="preserve">Variable de entrada</w:t>
            </w:r>
          </w:p>
        </w:tc>
        <w:tc>
          <w:tcPr>
            <w:shd w:fill="0B1120" w:color="0B1120" w:val="solid"/>
          </w:tcPr>
          <w:p>
            <w:r>
              <w:rPr>
                <w:b/>
                <w:bCs/>
                <w:color w:val="FFFFFF"/>
                <w:sz w:val="18"/>
                <w:szCs w:val="18"/>
              </w:rPr>
              <w:t xml:space="preserve">Valor base</w:t>
            </w:r>
          </w:p>
        </w:tc>
      </w:tr>
      <w:tr>
        <w:tc>
          <w:p>
            <w:pPr>
              <w:jc w:val="left"/>
            </w:pPr>
            <w:r>
              <w:rPr>
                <w:sz w:val="18"/>
                <w:szCs w:val="18"/>
              </w:rPr>
              <w:t xml:space="preserve">NOPAT del período</w:t>
            </w:r>
          </w:p>
        </w:tc>
        <w:tc>
          <w:p>
            <w:pPr>
              <w:jc w:val="right"/>
            </w:pPr>
            <w:r>
              <w:rPr>
                <w:sz w:val="18"/>
                <w:szCs w:val="18"/>
              </w:rPr>
              <w:t xml:space="preserve">540</w:t>
            </w:r>
          </w:p>
        </w:tc>
      </w:tr>
      <w:tr>
        <w:tc>
          <w:p>
            <w:pPr>
              <w:jc w:val="left"/>
            </w:pPr>
            <w:r>
              <w:rPr>
                <w:sz w:val="18"/>
                <w:szCs w:val="18"/>
              </w:rPr>
              <w:t xml:space="preserve">Inversión neta (CAPEX − amort + ΔWC)</w:t>
            </w:r>
          </w:p>
        </w:tc>
        <w:tc>
          <w:p>
            <w:pPr>
              <w:jc w:val="right"/>
            </w:pPr>
            <w:r>
              <w:rPr>
                <w:sz w:val="18"/>
                <w:szCs w:val="18"/>
              </w:rPr>
              <w:t xml:space="preserve">870</w:t>
            </w:r>
          </w:p>
        </w:tc>
      </w:tr>
      <w:tr>
        <w:tc>
          <w:p>
            <w:pPr>
              <w:jc w:val="left"/>
            </w:pPr>
            <w:r>
              <w:rPr>
                <w:sz w:val="18"/>
                <w:szCs w:val="18"/>
              </w:rPr>
              <w:t xml:space="preserve">RONIC (retorno del capital nuevo)</w:t>
            </w:r>
          </w:p>
        </w:tc>
        <w:tc>
          <w:p>
            <w:pPr>
              <w:jc w:val="right"/>
            </w:pPr>
            <w:r>
              <w:rPr>
                <w:sz w:val="18"/>
                <w:szCs w:val="18"/>
              </w:rPr>
              <w:t xml:space="preserve">0.18</w:t>
            </w:r>
          </w:p>
        </w:tc>
      </w:tr>
      <w:tr>
        <w:tc>
          <w:p>
            <w:pPr>
              <w:jc w:val="left"/>
            </w:pPr>
            <w:r>
              <w:rPr>
                <w:sz w:val="18"/>
                <w:szCs w:val="18"/>
              </w:rPr>
              <w:t xml:space="preserve">WACC (con riesgo país)</w:t>
            </w:r>
          </w:p>
        </w:tc>
        <w:tc>
          <w:p>
            <w:pPr>
              <w:jc w:val="right"/>
            </w:pPr>
            <w:r>
              <w:rPr>
                <w:sz w:val="18"/>
                <w:szCs w:val="18"/>
              </w:rPr>
              <w:t xml:space="preserve">0.21</w:t>
            </w:r>
          </w:p>
        </w:tc>
      </w:tr>
    </w:tbl>
    <w:p>
      <w:pPr>
        <w:spacing w:after="100"/>
      </w:pP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shd w:fill="0B1120" w:color="0B1120" w:val="solid"/>
          </w:tcPr>
          <w:p>
            <w:r>
              <w:rPr>
                <w:b/>
                <w:bCs/>
                <w:color w:val="FFFFFF"/>
                <w:sz w:val="18"/>
                <w:szCs w:val="18"/>
              </w:rPr>
              <w:t xml:space="preserve">Indicador calculado</w:t>
            </w:r>
          </w:p>
        </w:tc>
        <w:tc>
          <w:tcPr>
            <w:shd w:fill="0B1120" w:color="0B1120" w:val="solid"/>
          </w:tcPr>
          <w:p>
            <w:r>
              <w:rPr>
                <w:b/>
                <w:bCs/>
                <w:color w:val="FFFFFF"/>
                <w:sz w:val="18"/>
                <w:szCs w:val="18"/>
              </w:rPr>
              <w:t xml:space="preserve">Fórmula</w:t>
            </w:r>
          </w:p>
        </w:tc>
      </w:tr>
      <w:tr>
        <w:tc>
          <w:p>
            <w:pPr>
              <w:jc w:val="left"/>
            </w:pPr>
            <w:r>
              <w:rPr>
                <w:sz w:val="18"/>
                <w:szCs w:val="18"/>
              </w:rPr>
              <w:t xml:space="preserve">Tasa de reinversión (IR = inv. neta / NOPAT)</w:t>
            </w:r>
          </w:p>
        </w:tc>
        <w:tc>
          <w:p>
            <w:pPr>
              <w:jc w:val="right"/>
            </w:pPr>
            <w:r>
              <w:rPr>
                <w:sz w:val="18"/>
                <w:szCs w:val="18"/>
              </w:rPr>
              <w:t xml:space="preserve">invNeta/nopat</w:t>
            </w:r>
          </w:p>
        </w:tc>
      </w:tr>
      <w:tr>
        <w:tc>
          <w:p>
            <w:pPr>
              <w:jc w:val="left"/>
            </w:pPr>
            <w:r>
              <w:rPr>
                <w:sz w:val="18"/>
                <w:szCs w:val="18"/>
              </w:rPr>
              <w:t xml:space="preserve">Crecimiento (g = RONIC × IR)</w:t>
            </w:r>
          </w:p>
        </w:tc>
        <w:tc>
          <w:p>
            <w:pPr>
              <w:jc w:val="right"/>
            </w:pPr>
            <w:r>
              <w:rPr>
                <w:sz w:val="18"/>
                <w:szCs w:val="18"/>
              </w:rPr>
              <w:t xml:space="preserve">ronic*ir</w:t>
            </w:r>
          </w:p>
        </w:tc>
      </w:tr>
      <w:tr>
        <w:tc>
          <w:p>
            <w:pPr>
              <w:jc w:val="left"/>
            </w:pPr>
            <w:r>
              <w:rPr>
                <w:sz w:val="18"/>
                <w:szCs w:val="18"/>
              </w:rPr>
              <w:t xml:space="preserve">FCFF = NOPAT × (1 − IR)</w:t>
            </w:r>
          </w:p>
        </w:tc>
        <w:tc>
          <w:p>
            <w:pPr>
              <w:jc w:val="right"/>
            </w:pPr>
            <w:r>
              <w:rPr>
                <w:sz w:val="18"/>
                <w:szCs w:val="18"/>
              </w:rPr>
              <w:t xml:space="preserve">nopat*(1-ir)</w:t>
            </w:r>
          </w:p>
        </w:tc>
      </w:tr>
    </w:tbl>
    <w:p>
      <w:pPr>
        <w:spacing w:before="160"/>
      </w:pPr>
      <w:r>
        <w:t xml:space="preserve">Abrí el </w:t>
      </w:r>
      <w:r>
        <w:rPr>
          <w:b/>
          <w:bCs/>
        </w:rPr>
        <w:t xml:space="preserve">modelo interactivo</w:t>
      </w:r>
      <w:r>
        <w:t xml:space="preserve"> de este ítem en la plataforma para mover las variables en vivo, y usá el Excel para construir tu propio caso con matrices dinámicas.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rPr>
      <w:b/>
      <w:bCs/>
      <w:color w:val="0B1120"/>
      <w:sz w:val="36"/>
      <w:szCs w:val="36"/>
    </w:rPr>
  </w:style>
  <w:style w:type="paragraph" w:styleId="Heading2">
    <w:name w:val="Heading 2"/>
    <w:pPr>
      <w:spacing w:after="100" w:before="200"/>
    </w:pPr>
    <w:rPr>
      <w:b/>
      <w:bCs/>
      <w:color w:val="9474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2026-06-24T11:50:52.609Z</dcterms:created>
  <dcterms:modified xsi:type="dcterms:W3CDTF">2026-06-24T11:50:52.609Z</dcterms:modified>
</cp:coreProperties>
</file>

<file path=docProps/custom.xml><?xml version="1.0" encoding="utf-8"?>
<Properties xmlns="http://schemas.openxmlformats.org/officeDocument/2006/custom-properties" xmlns:vt="http://schemas.openxmlformats.org/officeDocument/2006/docPropsVTypes"/>
</file>