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9</w:t>
      </w:r>
    </w:p>
    <w:p>
      <w:pPr>
        <w:pStyle w:val="Title"/>
        <w:spacing w:after="40"/>
      </w:pPr>
      <w:r>
        <w:t xml:space="preserve">Ítem 2. Riesgo país sin doble conteo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EMBI, lambda de Damodaran y el ajuste 1−R² de Pereiro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Damodaran · Pereiro</w:t>
      </w:r>
    </w:p>
    <w:p>
      <w:pPr>
        <w:pStyle w:val="Heading2"/>
        <w:spacing w:after="100" w:before="220"/>
      </w:pPr>
      <w:r>
        <w:t xml:space="preserve">El error de sumar el EMBI completo</w:t>
      </w:r>
    </w:p>
    <w:p>
      <w:pPr>
        <w:spacing w:after="140" w:line="276"/>
      </w:pPr>
      <w:r>
        <w:t xml:space="preserve">La tentación es simple: tomar el </w:t>
      </w:r>
      <w:r>
        <w:rPr>
          <w:b/>
          <w:bCs/>
        </w:rPr>
        <w:t xml:space="preserve">EMBI</w:t>
      </w:r>
      <w:r>
        <w:t xml:space="preserve"> (el spread de la deuda soberana sobre el bono de EE.UU., que mide el riesgo país) y sumárselo entero al Ke de todas las empresas. Eso es </w:t>
      </w:r>
      <w:r>
        <w:rPr>
          <w:b/>
          <w:bCs/>
        </w:rPr>
        <w:t xml:space="preserve">doble conteo</w:t>
      </w:r>
      <w:r>
        <w:t xml:space="preserve">: parte de ese riesgo ya está capturado en la beta y en los flujos, y no todas las empresas están igual de expuestas al riesgo soberano.</w:t>
      </w:r>
    </w:p>
    <w:p>
      <w:pPr>
        <w:spacing w:after="140" w:line="276"/>
      </w:pPr>
      <w:r>
        <w:t xml:space="preserve">Un exportador con ingresos en dólares y clientes afuera está mucho menos expuesto al riesgo país que un comercio que vende solo en el mercado local. Cobrarles a ambos el EMBI completo distorsiona la valuación.</w:t>
      </w:r>
    </w:p>
    <w:p>
      <w:pPr>
        <w:pStyle w:val="Heading2"/>
        <w:spacing w:after="100" w:before="220"/>
      </w:pPr>
      <w:r>
        <w:t xml:space="preserve">Dos correcciones: lambda y 1−R²</w:t>
      </w:r>
    </w:p>
    <w:p>
      <w:pPr>
        <w:spacing w:after="140" w:line="276"/>
      </w:pPr>
      <w:r>
        <w:rPr>
          <w:b/>
          <w:bCs/>
        </w:rPr>
        <w:t xml:space="preserve">Lambda de Damodaran (λ):</w:t>
      </w:r>
      <w:r>
        <w:t xml:space="preserve"> mide la exposición específica de la empresa al riesgo país (por ejemplo, qué porcentaje de sus ingresos depende de la economía local). El riesgo país que se suma es EMBI × λ. Una λ de 0,7 significa 70% de exposición.</w:t>
      </w:r>
    </w:p>
    <w:p>
      <w:pPr>
        <w:spacing w:after="140" w:line="276"/>
      </w:pPr>
      <w:r>
        <w:rPr>
          <w:b/>
          <w:bCs/>
        </w:rPr>
        <w:t xml:space="preserve">Ajuste 1−R² de Pereiro:</w:t>
      </w:r>
      <w:r>
        <w:t xml:space="preserve"> parte de que la beta del mercado emergente ya explica una porción del riesgo total (el R² de la regresión). Para no contar dos veces, solo se agrega la parte </w:t>
      </w:r>
      <w:r>
        <w:rPr>
          <w:b/>
          <w:bCs/>
        </w:rPr>
        <w:t xml:space="preserve">no explicada</w:t>
      </w:r>
      <w:r>
        <w:t xml:space="preserve">: EMBI × (1−R²). En mercados poco líquidos el R² es bajo, así que queda casi todo el spread; en mercados más integrados, menos.</w:t>
      </w:r>
    </w:p>
    <w:p>
      <w:pPr>
        <w:spacing w:after="140" w:line="276"/>
      </w:pPr>
      <w:r>
        <w:rPr>
          <w:b/>
          <w:bCs/>
        </w:rPr>
        <w:t xml:space="preserve">Aclaración del marco (SPAM):</w:t>
      </w:r>
      <w:r>
        <w:t xml:space="preserve"> el </w:t>
      </w:r>
      <w:r>
        <w:rPr>
          <w:i/>
          <w:iCs/>
        </w:rPr>
        <w:t xml:space="preserve">Stackable Premiums and Adjustments Model</w:t>
      </w:r>
      <w:r>
        <w:t xml:space="preserve"> es el método de ir </w:t>
      </w:r>
      <w:r>
        <w:rPr>
          <w:b/>
          <w:bCs/>
        </w:rPr>
        <w:t xml:space="preserve">apilando primas</w:t>
      </w:r>
      <w:r>
        <w:t xml:space="preserve"> (país, tamaño, iliquidez) sobre el CAPM; NO es la corrección anti-doble-conteo. La corrección anti-doble-conteo son justamente el 1−R² de Pereiro y la λ de Damodaran.</w:t>
      </w:r>
    </w:p>
    <w:p>
      <w:pPr>
        <w:pStyle w:val="Heading2"/>
        <w:spacing w:after="100" w:before="220"/>
      </w:pPr>
      <w:r>
        <w:t xml:space="preserve">Interrelación y decisiones</w:t>
      </w:r>
    </w:p>
    <w:p>
      <w:pPr>
        <w:spacing w:after="140" w:line="276"/>
      </w:pPr>
      <w:r>
        <w:t xml:space="preserve">Este componente se suma al Ke base del ítem 1 para llegar al </w:t>
      </w:r>
      <w:r>
        <w:rPr>
          <w:b/>
          <w:bCs/>
        </w:rPr>
        <w:t xml:space="preserve">Ke local</w:t>
      </w:r>
      <w:r>
        <w:t xml:space="preserve">, que alimenta el WACC (ítem 3). Elegir bien entre EMBI completo, λ o 1−R² puede mover el WACC varios puntos y, con él, la valuación entera (Semana 12).</w:t>
      </w:r>
    </w:p>
    <w:p>
      <w:pPr>
        <w:spacing w:after="140" w:line="276"/>
      </w:pPr>
      <w:r>
        <w:rPr>
          <w:b/>
          <w:bCs/>
        </w:rPr>
        <w:t xml:space="preserve">Error frecuente:</w:t>
      </w:r>
      <w:r>
        <w:t xml:space="preserve"> sumar el EMBI completo "por las dudas". Resultado: se subestima el valor de la empresa y se rechazan proyectos que en realidad crean valor.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EMBI (spread soberano)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0.065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Lambda (exposición de la empresa)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0.7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R² de la regresión (mercado)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0.4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Sumar EMBI completo (doble conteo)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embi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Riesgo país × lambda (Damodaran)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embi*lambda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Riesgo país × (1−R²) (Pereiro)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embi*(1-r2)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2026-06-24T11:50:52.660Z</dcterms:created>
  <dcterms:modified xsi:type="dcterms:W3CDTF">2026-06-24T11:50:52.660Z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