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10</w:t>
      </w:r>
    </w:p>
    <w:p>
      <w:pPr>
        <w:pStyle w:val="Title"/>
        <w:spacing w:after="40"/>
      </w:pPr>
      <w:r>
        <w:t xml:space="preserve">Ítem 5. Nivel óptimo de deuda y cobertura de intereses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Modigliani-Miller en la práctica: dónde el escudo deja de compensar el riesgo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Modigliani-Miller (trade-off) · APV · cobertura</w:t>
      </w:r>
    </w:p>
    <w:p>
      <w:pPr>
        <w:pStyle w:val="Heading2"/>
        <w:spacing w:after="100" w:before="220"/>
      </w:pPr>
      <w:r>
        <w:t xml:space="preserve">El trade-off: escudo contra dificultades</w:t>
      </w:r>
    </w:p>
    <w:p>
      <w:pPr>
        <w:spacing w:after="140" w:line="276"/>
      </w:pPr>
      <w:r>
        <w:rPr>
          <w:b/>
          <w:bCs/>
        </w:rPr>
        <w:t xml:space="preserve">Modigliani-Miller</w:t>
      </w:r>
      <w:r>
        <w:t xml:space="preserve"> sin fricciones dice que la estructura financiera no cambia el valor. En la práctica, con impuestos y costos de quiebra, aparece un </w:t>
      </w:r>
      <w:r>
        <w:rPr>
          <w:b/>
          <w:bCs/>
        </w:rPr>
        <w:t xml:space="preserve">trade-off</w:t>
      </w:r>
      <w:r>
        <w:t xml:space="preserve">: la deuda </w:t>
      </w:r>
      <w:r>
        <w:rPr>
          <w:b/>
          <w:bCs/>
        </w:rPr>
        <w:t xml:space="preserve">agrega</w:t>
      </w:r>
      <w:r>
        <w:t xml:space="preserve"> valor por el escudo fiscal (ítems 2-3) y </w:t>
      </w:r>
      <w:r>
        <w:rPr>
          <w:b/>
          <w:bCs/>
        </w:rPr>
        <w:t xml:space="preserve">resta</w:t>
      </w:r>
      <w:r>
        <w:t xml:space="preserve"> valor por el costo esperado de dificultades (ítem 4). El </w:t>
      </w:r>
      <w:r>
        <w:rPr>
          <w:b/>
          <w:bCs/>
        </w:rPr>
        <w:t xml:space="preserve">valor de la firma con deuda</w:t>
      </w:r>
      <w:r>
        <w:t xml:space="preserve"> es Vu + VP(escudo) − VP(dificultades).</w:t>
      </w:r>
    </w:p>
    <w:p>
      <w:pPr>
        <w:spacing w:after="140" w:line="276"/>
      </w:pPr>
      <w:r>
        <w:t xml:space="preserve">Al principio domina el escudo: agregar deuda </w:t>
      </w:r>
      <w:r>
        <w:rPr>
          <w:b/>
          <w:bCs/>
        </w:rPr>
        <w:t xml:space="preserve">sube</w:t>
      </w:r>
      <w:r>
        <w:t xml:space="preserve"> el valor. Pero a medida que la deuda crece, la probabilidad de insolvencia se acelera y el costo esperado de dificultades crece </w:t>
      </w:r>
      <w:r>
        <w:rPr>
          <w:b/>
          <w:bCs/>
        </w:rPr>
        <w:t xml:space="preserve">más rápido</w:t>
      </w:r>
      <w:r>
        <w:t xml:space="preserve"> que el escudo. Hay un punto donde la pendiente se da vuelta: ese es el </w:t>
      </w:r>
      <w:r>
        <w:rPr>
          <w:b/>
          <w:bCs/>
        </w:rPr>
        <w:t xml:space="preserve">nivel óptimo de deuda</w:t>
      </w:r>
      <w:r>
        <w:t xml:space="preserve">, el que </w:t>
      </w:r>
      <w:r>
        <w:rPr>
          <w:b/>
          <w:bCs/>
        </w:rPr>
        <w:t xml:space="preserve">maximiza el valor de la firma</w:t>
      </w:r>
      <w:r>
        <w:t xml:space="preserve">.</w:t>
      </w:r>
    </w:p>
    <w:p>
      <w:pPr>
        <w:spacing w:after="140" w:line="276"/>
      </w:pPr>
      <w:r>
        <w:t xml:space="preserve">Pasado el óptimo, </w:t>
      </w:r>
      <w:r>
        <w:rPr>
          <w:b/>
          <w:bCs/>
        </w:rPr>
        <w:t xml:space="preserve">más deuda destruye valor</w:t>
      </w:r>
      <w:r>
        <w:t xml:space="preserve">: el escudo marginal ya no alcanza a compensar el riesgo marginal de quiebra. La teoría del trade-off explica por qué las empresas no se endeudan al 100% aunque el escudo sea atractivo, y por qué cada negocio tiene su propio óptimo según su volatilidad operativa.</w:t>
      </w:r>
    </w:p>
    <w:p>
      <w:pPr>
        <w:pStyle w:val="Heading2"/>
        <w:spacing w:after="100" w:before="220"/>
      </w:pPr>
      <w:r>
        <w:t xml:space="preserve">La cobertura de intereses: el termómetro práctico</w:t>
      </w:r>
    </w:p>
    <w:p>
      <w:pPr>
        <w:spacing w:after="140" w:line="276"/>
      </w:pPr>
      <w:r>
        <w:t xml:space="preserve">En el día a día, el ratio que resume todo esto es la </w:t>
      </w:r>
      <w:r>
        <w:rPr>
          <w:b/>
          <w:bCs/>
        </w:rPr>
        <w:t xml:space="preserve">cobertura de intereses = EBIT / Intereses</w:t>
      </w:r>
      <w:r>
        <w:t xml:space="preserve">. Mide cuántas veces el resultado operativo cubre la cuenta financiera. Una cobertura alta (&gt;4-5x) indica holgura; una baja (&lt;2x) significa que casi todo el operativo se va en intereses y cualquier traspié deja a la empresa sin con qué pagar.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 la cobertura es </w:t>
      </w:r>
      <w:r>
        <w:rPr>
          <w:b/>
          <w:bCs/>
        </w:rPr>
        <w:t xml:space="preserve">830 / 560 ≈ 1,5x</w:t>
      </w:r>
      <w:r>
        <w:t xml:space="preserve">: apenas vez y media. Es una señal de alarma: el resultado operativo apenas supera a los intereses, la caja vive tensa y un mal trimestre puede romper la cadena de pagos. Conecta directo con el </w:t>
      </w:r>
      <w:r>
        <w:rPr>
          <w:b/>
          <w:bCs/>
        </w:rPr>
        <w:t xml:space="preserve">escudo riesgoso</w:t>
      </w:r>
      <w:r>
        <w:t xml:space="preserve"> (si el EBITO no alcanza, el escudo desaparece) y con el </w:t>
      </w:r>
      <w:r>
        <w:rPr>
          <w:b/>
          <w:bCs/>
        </w:rPr>
        <w:t xml:space="preserve">Z''</w:t>
      </w:r>
      <w:r>
        <w:t xml:space="preserve"> (baja cobertura empuja a zona gris).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cobertura es el puente entre el apalancamiento (ítem 1, GAF del ítem… del programa) y las dificultades financieras (ítem 4). Una cobertura de ~1,5x dice que Andina </w:t>
      </w:r>
      <w:r>
        <w:rPr>
          <w:b/>
          <w:bCs/>
        </w:rPr>
        <w:t xml:space="preserve">ya está cerca o pasada de su óptimo de deuda</w:t>
      </w:r>
      <w:r>
        <w:t xml:space="preserve">: el escudo que gana es chico frente al riesgo que carga.</w:t>
      </w:r>
    </w:p>
    <w:p>
      <w:pPr>
        <w:pStyle w:val="Heading2"/>
        <w:spacing w:after="100" w:before="220"/>
      </w:pPr>
      <w:r>
        <w:t xml:space="preserve">Qué decisiones habilita</w:t>
      </w:r>
    </w:p>
    <w:p>
      <w:pPr>
        <w:spacing w:after="140" w:line="276"/>
      </w:pPr>
      <w:r>
        <w:t xml:space="preserve">Define </w:t>
      </w:r>
      <w:r>
        <w:rPr>
          <w:b/>
          <w:bCs/>
        </w:rPr>
        <w:t xml:space="preserve">cuánta deuda tomar</w:t>
      </w:r>
      <w:r>
        <w:t xml:space="preserve">: hasta el óptimo, no más. Orienta la </w:t>
      </w:r>
      <w:r>
        <w:rPr>
          <w:b/>
          <w:bCs/>
        </w:rPr>
        <w:t xml:space="preserve">reestructuración de pasivos</w:t>
      </w:r>
      <w:r>
        <w:t xml:space="preserve">: si la cobertura está por debajo de ~2x, la prioridad es desapalancar o abaratar la deuda antes que perseguir el escudo. Y fija una </w:t>
      </w:r>
      <w:r>
        <w:rPr>
          <w:b/>
          <w:bCs/>
        </w:rPr>
        <w:t xml:space="preserve">alarma de gestión</w:t>
      </w:r>
      <w:r>
        <w:t xml:space="preserve">: por debajo de cierto umbral de cobertura, el riesgo financiero manda sobre cualquier beneficio fiscal.</w:t>
      </w:r>
    </w:p>
    <w:p>
      <w:pPr>
        <w:spacing w:after="140" w:line="276"/>
      </w:pPr>
      <w:r>
        <w:t xml:space="preserve">El simulador permite mover la deuda y ver cómo el valor de la firma sube, llega a un máximo y luego cae: la mejor forma de internalizar que el endeudamiento óptimo </w:t>
      </w:r>
      <w:r>
        <w:rPr>
          <w:b/>
          <w:bCs/>
        </w:rPr>
        <w:t xml:space="preserve">no es ni cero ni el máximo</w:t>
      </w:r>
      <w:r>
        <w:t xml:space="preserve">, sino el punto donde el escudo marginal iguala al riesgo marginal.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EBIT (resultado operativo)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(deuda actual)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desapalancado (Vu)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 (Tc)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Kd (costo de la deuda)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esperado de dificultades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Cobertura de intereses (EBIT/Int)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IF(intereses&gt;0,ebit/intereses,NA())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Deuda implícita (Intereses/Kd)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IF(kd&gt;0,intereses/kd,NA())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del escudo (Tc·D)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IF(kd&gt;0,tax*deuda,NA())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firma (Vu + escudo − dificultades)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IF(kd&gt;0,vu+escudo-costoDistress,NA())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2026-06-24T11:50:52.782Z</dcterms:created>
  <dcterms:modified xsi:type="dcterms:W3CDTF">2026-06-24T11:50:52.782Z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