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11</w:t>
      </w:r>
    </w:p>
    <w:p>
      <w:pPr>
        <w:pStyle w:val="Title"/>
        <w:spacing w:after="40"/>
      </w:pPr>
      <w:r>
        <w:t xml:space="preserve">Ítem 1. De la TNA a la TEA: el efecto de la capitalización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Por qué la tasa que cobra el banco es mayor que la que dice el cartel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Matemática financiera · interés compuesto</w:t>
      </w:r>
    </w:p>
    <w:p>
      <w:pPr>
        <w:pStyle w:val="Heading2"/>
        <w:spacing w:after="100" w:before="220"/>
      </w:pPr>
      <w:r>
        <w:t xml:space="preserve">Nominal no es lo mismo que efectivo</w:t>
      </w:r>
    </w:p>
    <w:p>
      <w:pPr>
        <w:spacing w:after="140" w:line="276"/>
      </w:pPr>
      <w:r>
        <w:t xml:space="preserve">La </w:t>
      </w:r>
      <w:r>
        <w:rPr>
          <w:b/>
          <w:bCs/>
        </w:rPr>
        <w:t xml:space="preserve">TNA (Tasa Nominal Anual)</w:t>
      </w:r>
      <w:r>
        <w:t xml:space="preserve"> es la que figura en el cartel del banco, pero es una tasa </w:t>
      </w:r>
      <w:r>
        <w:rPr>
          <w:b/>
          <w:bCs/>
        </w:rPr>
        <w:t xml:space="preserve">incompleta</w:t>
      </w:r>
      <w:r>
        <w:t xml:space="preserve">: no dice cada cuánto se </w:t>
      </w:r>
      <w:r>
        <w:rPr>
          <w:b/>
          <w:bCs/>
        </w:rPr>
        <w:t xml:space="preserve">capitalizan</w:t>
      </w:r>
      <w:r>
        <w:t xml:space="preserve"> los intereses. La </w:t>
      </w:r>
      <w:r>
        <w:rPr>
          <w:b/>
          <w:bCs/>
        </w:rPr>
        <w:t xml:space="preserve">TEA (Tasa Efectiva Anual)</w:t>
      </w:r>
      <w:r>
        <w:t xml:space="preserve"> sí: incorpora que los intereses generados en cada subperíodo se suman al capital y </w:t>
      </w:r>
      <w:r>
        <w:rPr>
          <w:b/>
          <w:bCs/>
        </w:rPr>
        <w:t xml:space="preserve">a su vez generan intereses</w:t>
      </w:r>
      <w:r>
        <w:t xml:space="preserve">. La fórmula es </w:t>
      </w:r>
      <w:r>
        <w:rPr>
          <w:b/>
          <w:bCs/>
        </w:rPr>
        <w:t xml:space="preserve">TEA = (1 + TNA/m)^m − 1</w:t>
      </w:r>
      <w:r>
        <w:t xml:space="preserve">, donde m es la cantidad de capitalizaciones por año.</w:t>
      </w:r>
    </w:p>
    <w:p>
      <w:pPr>
        <w:spacing w:after="140" w:line="276"/>
      </w:pPr>
      <w:r>
        <w:t xml:space="preserve">El mecanismo es el </w:t>
      </w:r>
      <w:r>
        <w:rPr>
          <w:b/>
          <w:bCs/>
        </w:rPr>
        <w:t xml:space="preserve">interés compuesto</w:t>
      </w:r>
      <w:r>
        <w:t xml:space="preserve">: si una TNA del 60% se capitaliza mensualmente (m = 12), cada mes se aplica 60%/12 = 5%, pero sobre un capital que ya creció. Al cabo del año la tasa efectiva no es 60% sino (1,05)^12 − 1 ≈ </w:t>
      </w:r>
      <w:r>
        <w:rPr>
          <w:b/>
          <w:bCs/>
        </w:rPr>
        <w:t xml:space="preserve">79,6%</w:t>
      </w:r>
      <w:r>
        <w:t xml:space="preserve">. La diferencia —casi 20 puntos— es pura capitalización.</w:t>
      </w:r>
    </w:p>
    <w:p>
      <w:pPr>
        <w:spacing w:after="140" w:line="276"/>
      </w:pPr>
      <w:r>
        <w:t xml:space="preserve">Cuanto </w:t>
      </w:r>
      <w:r>
        <w:rPr>
          <w:b/>
          <w:bCs/>
        </w:rPr>
        <w:t xml:space="preserve">más frecuente</w:t>
      </w:r>
      <w:r>
        <w:t xml:space="preserve"> la capitalización (mayor m), </w:t>
      </w:r>
      <w:r>
        <w:rPr>
          <w:b/>
          <w:bCs/>
        </w:rPr>
        <w:t xml:space="preserve">mayor</w:t>
      </w:r>
      <w:r>
        <w:t xml:space="preserve"> la TEA para una misma TNA. De capitalización anual (m=1, TEA=TNA) se pasa a mensual, diaria, y en el límite a la capitalización continua. Por eso comparar productos por su TNA es engañoso: hay que llevarlos todos a </w:t>
      </w:r>
      <w:r>
        <w:rPr>
          <w:b/>
          <w:bCs/>
        </w:rPr>
        <w:t xml:space="preserve">TEA</w:t>
      </w:r>
      <w:r>
        <w:t xml:space="preserve">, la única tasa comparable.</w:t>
      </w:r>
    </w:p>
    <w:p>
      <w:pPr>
        <w:pStyle w:val="Heading2"/>
        <w:spacing w:after="100" w:before="220"/>
      </w:pPr>
      <w:r>
        <w:t xml:space="preserve">Andina y la deuda cara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descubierto bancario</w:t>
      </w:r>
      <w:r>
        <w:t xml:space="preserve"> de Andina se publicita con una TNA alta, pero como capitaliza muy seguido, su </w:t>
      </w:r>
      <w:r>
        <w:rPr>
          <w:b/>
          <w:bCs/>
        </w:rPr>
        <w:t xml:space="preserve">TEA real es todavía mayor</w:t>
      </w:r>
      <w:r>
        <w:t xml:space="preserve">. Es el producto más caro de su pasivo y la razón de fondo por la que los intereses (560) se comen el resultado operativo (EBIT 830). El dueño mira la TNA del cartel y subestima lo que de verdad paga.</w:t>
      </w:r>
    </w:p>
    <w:p>
      <w:pPr>
        <w:spacing w:after="140" w:line="276"/>
      </w:pPr>
      <w:r>
        <w:rPr>
          <w:b/>
          <w:bCs/>
        </w:rPr>
        <w:t xml:space="preserve">Interrelación clave:</w:t>
      </w:r>
      <w:r>
        <w:t xml:space="preserve"> la TEA es el insumo para comparar fuentes de financiamiento, para calcular el </w:t>
      </w:r>
      <w:r>
        <w:rPr>
          <w:b/>
          <w:bCs/>
        </w:rPr>
        <w:t xml:space="preserve">Kd efectivo</w:t>
      </w:r>
      <w:r>
        <w:t xml:space="preserve"> (Semana 9) y para todo el </w:t>
      </w:r>
      <w:r>
        <w:rPr>
          <w:b/>
          <w:bCs/>
        </w:rPr>
        <w:t xml:space="preserve">valor tiempo del dinero</w:t>
      </w:r>
      <w:r>
        <w:t xml:space="preserve"> (ítem 5). Confundir TNA con TEA distorsiona el costo de la deuda y, con él, el WACC y la valuación entera.</w:t>
      </w:r>
    </w:p>
    <w:p>
      <w:pPr>
        <w:pStyle w:val="Heading2"/>
        <w:spacing w:after="100" w:before="220"/>
      </w:pPr>
      <w:r>
        <w:t xml:space="preserve">Errores frecuentes</w:t>
      </w:r>
    </w:p>
    <w:p>
      <w:pPr>
        <w:spacing w:after="140" w:line="276"/>
      </w:pPr>
      <w:r>
        <w:t xml:space="preserve">Comparar un préstamo de TNA 50% con capitalización mensual contra otro de TNA 52% con capitalización anual mirando solo el número nominal: el segundo puede ser más barato. Olvidar que a igual TNA, más capitalizaciones = más caro. Y citar la TNA en una negociación cuando lo que importa es la TEA (y, peor aún, el CFT del ítem 3).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Tasa Nominal Anual (TNA)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0.6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Capitalizaciones por año (m)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12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Tasa por período (TNA/m)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tna/m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Tasa Efectiva Anual (TEA)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(1+tna/m)^m-1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Brecha TEA − TNA (capitalización)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tea-tna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2026-06-24T11:50:52.797Z</dcterms:created>
  <dcterms:modified xsi:type="dcterms:W3CDTF">2026-06-24T11:50:52.797Z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