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12</w:t>
      </w:r>
    </w:p>
    <w:p>
      <w:pPr>
        <w:pStyle w:val="Title"/>
        <w:spacing w:after="40"/>
      </w:pPr>
      <w:r>
        <w:t xml:space="preserve">Ítem 4. TSR Sintético y TBR para la empresa que no cotiza</w:t>
      </w:r>
    </w:p>
    <w:p>
      <w:pPr>
        <w:spacing w:after="40"/>
      </w:pPr>
      <w:r>
        <w:rPr>
          <w:i/>
          <w:iCs/>
          <w:color w:val="555555"/>
          <w:sz w:val="22"/>
          <w:szCs w:val="22"/>
        </w:rPr>
        <w:t xml:space="preserve">El valor intrínseco por DCF como sustituto del precio de pizarra</w:t>
      </w:r>
    </w:p>
    <w:p>
      <w:pPr>
        <w:spacing w:after="160"/>
      </w:pPr>
      <w:r>
        <w:rPr>
          <w:b/>
          <w:bCs/>
          <w:color w:val="94741F"/>
          <w:sz w:val="18"/>
          <w:szCs w:val="18"/>
        </w:rPr>
        <w:t xml:space="preserve">Marco: TBR · BCG · McKinsey Valuation</w:t>
      </w:r>
    </w:p>
    <w:p>
      <w:pPr>
        <w:pStyle w:val="Heading2"/>
        <w:spacing w:after="100" w:before="220"/>
      </w:pPr>
      <w:r>
        <w:t xml:space="preserve">El problema: no hay precio de pizarra</w:t>
      </w:r>
    </w:p>
    <w:p>
      <w:pPr>
        <w:spacing w:after="140" w:line="276"/>
      </w:pPr>
      <w:r>
        <w:t xml:space="preserve">En una PyME de capital cerrado como </w:t>
      </w:r>
      <w:r>
        <w:rPr>
          <w:b/>
          <w:bCs/>
        </w:rPr>
        <w:t xml:space="preserve">Andina</w:t>
      </w:r>
      <w:r>
        <w:t xml:space="preserve"> no existe cotización diaria. No hay un precio de pizarra del que extraer la apreciación, así que el TSR tradicional del ítem 3 </w:t>
      </w:r>
      <w:r>
        <w:rPr>
          <w:b/>
          <w:bCs/>
        </w:rPr>
        <w:t xml:space="preserve">no se puede calcular</w:t>
      </w:r>
      <w:r>
        <w:t xml:space="preserve">: falta el Pₜ y el Pₜ₋₁. Hay que construir un sustituto del precio. La solución es el </w:t>
      </w:r>
      <w:r>
        <w:rPr>
          <w:b/>
          <w:bCs/>
        </w:rPr>
        <w:t xml:space="preserve">TSR Sintético</w:t>
      </w:r>
      <w:r>
        <w:t xml:space="preserve">, que reemplaza el precio de mercado por el </w:t>
      </w:r>
      <w:r>
        <w:rPr>
          <w:b/>
          <w:bCs/>
        </w:rPr>
        <w:t xml:space="preserve">valor intrínseco del patrimonio estimado período a período con un DCF consistente</w:t>
      </w:r>
      <w:r>
        <w:t xml:space="preserve">.</w:t>
      </w:r>
    </w:p>
    <w:p>
      <w:pPr>
        <w:spacing w:after="140" w:line="276"/>
      </w:pPr>
      <w:r>
        <w:t xml:space="preserve">En lugar de preguntar "¿cuánto cotizó la acción?", se pregunta "¿cuánto vale el patrimonio según un DCF —el del ítem 1 o el APV del ítem 2— al inicio y al final del período?". El retorno del accionista es entonces la variación de ese valor intrínseco más la caja que el negocio liberó. La calidad del TSR Sintético es exactamente la calidad del DCF que lo alimenta: supuestos optimistas de valor inflan el retorno, así que hay que auditar la tasa y el g.</w:t>
      </w:r>
    </w:p>
    <w:p>
      <w:pPr>
        <w:spacing w:after="140" w:line="276"/>
      </w:pPr>
      <w:r>
        <w:t xml:space="preserve">BCG formalizó esto en el </w:t>
      </w:r>
      <w:r>
        <w:rPr>
          <w:b/>
          <w:bCs/>
        </w:rPr>
        <w:t xml:space="preserve">TBR (Total Business Return)</w:t>
      </w:r>
      <w:r>
        <w:t xml:space="preserve">, el equivalente interno del TSR que desarrollaron para unidades de negocio y subsidiarias no cotizadas. Es la forma operativa del TSR Sintético: TBR = FCFₜ/Vₜ₋₁ + (Vₜ − Vₜ₋₁)/Vₜ₋₁, es decir, el </w:t>
      </w:r>
      <w:r>
        <w:rPr>
          <w:b/>
          <w:bCs/>
        </w:rPr>
        <w:t xml:space="preserve">yield</w:t>
      </w:r>
      <w:r>
        <w:t xml:space="preserve"> de la caja liberada más la </w:t>
      </w:r>
      <w:r>
        <w:rPr>
          <w:b/>
          <w:bCs/>
        </w:rPr>
        <w:t xml:space="preserve">ganancia de capital intrínseco</w:t>
      </w:r>
      <w:r>
        <w:t xml:space="preserve">.</w:t>
      </w:r>
    </w:p>
    <w:p>
      <w:pPr>
        <w:pStyle w:val="Heading2"/>
        <w:spacing w:after="100" w:before="220"/>
      </w:pPr>
      <w:r>
        <w:t xml:space="preserve">La vara dura del TBR y las normalizaciones</w:t>
      </w:r>
    </w:p>
    <w:p>
      <w:pPr>
        <w:spacing w:after="140" w:line="276"/>
      </w:pPr>
      <w:r>
        <w:t xml:space="preserve">El TBR impone una </w:t>
      </w:r>
      <w:r>
        <w:rPr>
          <w:b/>
          <w:bCs/>
        </w:rPr>
        <w:t xml:space="preserve">vara dura</w:t>
      </w:r>
      <w:r>
        <w:t xml:space="preserve"> y profundamente útil: toda inversión de capital destinada a mejorar el negocio debe generar una </w:t>
      </w:r>
      <w:r>
        <w:rPr>
          <w:b/>
          <w:bCs/>
        </w:rPr>
        <w:t xml:space="preserve">ganancia de capital intrínseco que supere el "dividendo"</w:t>
      </w:r>
      <w:r>
        <w:t xml:space="preserve"> que el accionista habría cobrado si esa caja se hubiera distribuido. Si el ΔV no supera al yield distribuible, </w:t>
      </w:r>
      <w:r>
        <w:rPr>
          <w:b/>
          <w:bCs/>
        </w:rPr>
        <w:t xml:space="preserve">conviene distribuir</w:t>
      </w:r>
      <w:r>
        <w:t xml:space="preserve">. Es exactamente la decisión de la política de dividendos (S8) vista desde el retorno total.</w:t>
      </w:r>
    </w:p>
    <w:p>
      <w:pPr>
        <w:spacing w:after="140" w:line="276"/>
      </w:pPr>
      <w:r>
        <w:t xml:space="preserve">La consistencia temporal es innegociable: Vₜ y Vₜ₋₁ deben calcularse con la </w:t>
      </w:r>
      <w:r>
        <w:rPr>
          <w:b/>
          <w:bCs/>
        </w:rPr>
        <w:t xml:space="preserve">misma metodología, mismo costo de capital y mismos supuestos</w:t>
      </w:r>
      <w:r>
        <w:t xml:space="preserve">. Si no, el ΔV mide cambios de supuesto —que cambiaste el WACC, que subiste el g— y no creación de valor real. Es el error más común y el más fácil de cometer cuando uno valúa la misma empresa dos años seguidos.</w:t>
      </w:r>
    </w:p>
    <w:p>
      <w:pPr>
        <w:spacing w:after="140" w:line="276"/>
      </w:pPr>
      <w:r>
        <w:t xml:space="preserve">Antes de alimentar el DCF, el FCF de la PyME familiar exige </w:t>
      </w:r>
      <w:r>
        <w:rPr>
          <w:b/>
          <w:bCs/>
        </w:rPr>
        <w:t xml:space="preserve">tres normalizaciones obligatorias</w:t>
      </w:r>
      <w:r>
        <w:t xml:space="preserve">: (1) </w:t>
      </w:r>
      <w:r>
        <w:rPr>
          <w:b/>
          <w:bCs/>
        </w:rPr>
        <w:t xml:space="preserve">salarios de socios a valores de mercado</w:t>
      </w:r>
      <w:r>
        <w:t xml:space="preserve"> —si el dueño cobra de menos, el EBITDA está inflado; si cobra de más, deprimido—; (2) </w:t>
      </w:r>
      <w:r>
        <w:rPr>
          <w:b/>
          <w:bCs/>
        </w:rPr>
        <w:t xml:space="preserve">gastos personales cargados a la sociedad</w:t>
      </w:r>
      <w:r>
        <w:t xml:space="preserve"> (autos, viajes, inmuebles no operativos) reclasificados como distribuciones implícitas; y (3) </w:t>
      </w:r>
      <w:r>
        <w:rPr>
          <w:b/>
          <w:bCs/>
        </w:rPr>
        <w:t xml:space="preserve">modelización en USD</w:t>
      </w:r>
      <w:r>
        <w:t xml:space="preserve"> para aislar el crecimiento real de la ilusión inflacionaria. Sin estas tres, el FCF de Andina no es utilizable.</w:t>
      </w:r>
    </w:p>
    <w:p>
      <w:pPr>
        <w:pStyle w:val="Heading2"/>
        <w:spacing w:after="100" w:before="220"/>
      </w:pPr>
      <w:r>
        <w:t xml:space="preserve">El Escenario DCF de McKinsey: el riesgo en los flujos</w:t>
      </w:r>
    </w:p>
    <w:p>
      <w:pPr>
        <w:spacing w:after="140" w:line="276"/>
      </w:pPr>
      <w:r>
        <w:t xml:space="preserve">¿Cómo se mete el riesgo emergente en la valuación intrínseca sin castigarla de más? La tentación tradicional es </w:t>
      </w:r>
      <w:r>
        <w:rPr>
          <w:b/>
          <w:bCs/>
        </w:rPr>
        <w:t xml:space="preserve">subir la tasa</w:t>
      </w:r>
      <w:r>
        <w:t xml:space="preserve"> agregando una prima de riesgo país arbitraria al WACC, lo que comprime salvajemente el valor presente y, peor, </w:t>
      </w:r>
      <w:r>
        <w:rPr>
          <w:b/>
          <w:bCs/>
        </w:rPr>
        <w:t xml:space="preserve">duplica el riesgo</w:t>
      </w:r>
      <w:r>
        <w:t xml:space="preserve"> si la moneda ya está en USD. McKinsey propone el </w:t>
      </w:r>
      <w:r>
        <w:rPr>
          <w:b/>
          <w:bCs/>
        </w:rPr>
        <w:t xml:space="preserve">Escenario DCF</w:t>
      </w:r>
      <w:r>
        <w:t xml:space="preserve">, metodológicamente superior: no cargar la tasa, sino modelar los riesgos —devaluaciones, crisis de liquidez, cambios regulatorios— </w:t>
      </w:r>
      <w:r>
        <w:rPr>
          <w:b/>
          <w:bCs/>
        </w:rPr>
        <w:t xml:space="preserve">directamente en las proyecciones de flujo</w:t>
      </w:r>
      <w:r>
        <w:t xml:space="preserve">, ponderados por probabilidad.</w:t>
      </w:r>
    </w:p>
    <w:p>
      <w:pPr>
        <w:spacing w:after="140" w:line="276"/>
      </w:pPr>
      <w:r>
        <w:t xml:space="preserve">Una vez que los flujos esperados reflejan el promedio de esos escenarios probables, se descuenta con una tasa alineada a estándares globales. Esto se operacionaliza con </w:t>
      </w:r>
      <w:r>
        <w:rPr>
          <w:b/>
          <w:bCs/>
        </w:rPr>
        <w:t xml:space="preserve">Monte Carlo (mínimo 10.000 iteraciones)</w:t>
      </w:r>
      <w:r>
        <w:t xml:space="preserve">. La regla anti-doble-conteo de la casa manda: el riesgo país se modela </w:t>
      </w:r>
      <w:r>
        <w:rPr>
          <w:b/>
          <w:bCs/>
        </w:rPr>
        <w:t xml:space="preserve">una sola vez</w:t>
      </w:r>
      <w:r>
        <w:t xml:space="preserve">. Si va en los flujos, no se vuelve a sumar como CRP en la tasa; si se prefiere la ruta de tasa (AL-CAPM de Pereiro), va en el Ke con el factor (1−R²). Una ruta o la otra, nunca las dos.</w:t>
      </w:r>
    </w:p>
    <w:p>
      <w:pPr>
        <w:spacing w:after="140" w:line="276"/>
      </w:pPr>
      <w:r>
        <w:rPr>
          <w:b/>
          <w:bCs/>
        </w:rPr>
        <w:t xml:space="preserve">Interrelación de cierre del programa:</w:t>
      </w:r>
      <w:r>
        <w:t xml:space="preserve"> el TSR Sintético cierra el círculo. Toma el valor intrínseco del DCF (ítem 1) o del APV (ítem 2), exige las normalizaciones de la empresa familiar, mide el retorno año contra año y lo enfrenta a la decisión de distribuir o reinvertir (S8). Y el valor Vₜ que produce es, además, la base sobre la que el ítem 5 aplicará los descuentos DLOC y DLOM para llegar al valor del paquete de un socio concreto.</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Valor intrínseco inicial (V t−1)</w:t>
            </w:r>
          </w:p>
        </w:tc>
        <w:tc>
          <w:p>
            <w:pPr>
              <w:jc w:val="right"/>
            </w:pPr>
            <w:r>
              <w:rPr>
                <w:sz w:val="18"/>
                <w:szCs w:val="18"/>
              </w:rPr>
              <w:t xml:space="preserve">2400</w:t>
            </w:r>
          </w:p>
        </w:tc>
      </w:tr>
      <w:tr>
        <w:tc>
          <w:p>
            <w:pPr>
              <w:jc w:val="left"/>
            </w:pPr>
            <w:r>
              <w:rPr>
                <w:sz w:val="18"/>
                <w:szCs w:val="18"/>
              </w:rPr>
              <w:t xml:space="preserve">Valor intrínseco final (V t)</w:t>
            </w:r>
          </w:p>
        </w:tc>
        <w:tc>
          <w:p>
            <w:pPr>
              <w:jc w:val="right"/>
            </w:pPr>
            <w:r>
              <w:rPr>
                <w:sz w:val="18"/>
                <w:szCs w:val="18"/>
              </w:rPr>
              <w:t xml:space="preserve">2760</w:t>
            </w:r>
          </w:p>
        </w:tc>
      </w:tr>
      <w:tr>
        <w:tc>
          <w:p>
            <w:pPr>
              <w:jc w:val="left"/>
            </w:pPr>
            <w:r>
              <w:rPr>
                <w:sz w:val="18"/>
                <w:szCs w:val="18"/>
              </w:rPr>
              <w:t xml:space="preserve">FCF liberado en el período</w:t>
            </w:r>
          </w:p>
        </w:tc>
        <w:tc>
          <w:p>
            <w:pPr>
              <w:jc w:val="right"/>
            </w:pPr>
            <w:r>
              <w:rPr>
                <w:sz w:val="18"/>
                <w:szCs w:val="18"/>
              </w:rPr>
              <w:t xml:space="preserve">180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Yield (FCF / V inicial)</w:t>
            </w:r>
          </w:p>
        </w:tc>
        <w:tc>
          <w:p>
            <w:pPr>
              <w:jc w:val="right"/>
            </w:pPr>
            <w:r>
              <w:rPr>
                <w:sz w:val="18"/>
                <w:szCs w:val="18"/>
              </w:rPr>
              <w:t xml:space="preserve">fcf/vIni</w:t>
            </w:r>
          </w:p>
        </w:tc>
      </w:tr>
      <w:tr>
        <w:tc>
          <w:p>
            <w:pPr>
              <w:jc w:val="left"/>
            </w:pPr>
            <w:r>
              <w:rPr>
                <w:sz w:val="18"/>
                <w:szCs w:val="18"/>
              </w:rPr>
              <w:t xml:space="preserve">Ganancia de capital intrínseco</w:t>
            </w:r>
          </w:p>
        </w:tc>
        <w:tc>
          <w:p>
            <w:pPr>
              <w:jc w:val="right"/>
            </w:pPr>
            <w:r>
              <w:rPr>
                <w:sz w:val="18"/>
                <w:szCs w:val="18"/>
              </w:rPr>
              <w:t xml:space="preserve">(vFin-vIni)/vIni</w:t>
            </w:r>
          </w:p>
        </w:tc>
      </w:tr>
      <w:tr>
        <w:tc>
          <w:p>
            <w:pPr>
              <w:jc w:val="left"/>
            </w:pPr>
            <w:r>
              <w:rPr>
                <w:sz w:val="18"/>
                <w:szCs w:val="18"/>
              </w:rPr>
              <w:t xml:space="preserve">TBR (TSR Sintético)</w:t>
            </w:r>
          </w:p>
        </w:tc>
        <w:tc>
          <w:p>
            <w:pPr>
              <w:jc w:val="right"/>
            </w:pPr>
            <w:r>
              <w:rPr>
                <w:sz w:val="18"/>
                <w:szCs w:val="18"/>
              </w:rPr>
              <w:t xml:space="preserve">yield+gananciaCapital</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2026-06-24T11:50:52.915Z</dcterms:created>
  <dcterms:modified xsi:type="dcterms:W3CDTF">2026-06-24T11:50:52.915Z</dcterms:modified>
</cp:coreProperties>
</file>

<file path=docProps/custom.xml><?xml version="1.0" encoding="utf-8"?>
<Properties xmlns="http://schemas.openxmlformats.org/officeDocument/2006/custom-properties" xmlns:vt="http://schemas.openxmlformats.org/officeDocument/2006/docPropsVTypes"/>
</file>