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12</w:t>
      </w:r>
    </w:p>
    <w:p>
      <w:pPr>
        <w:pStyle w:val="Title"/>
        <w:spacing w:after="40"/>
      </w:pPr>
      <w:r>
        <w:t xml:space="preserve">Ítem 5. Descuentos DLOC y DLOM del paquete cerrado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Falta de control y de liquidez: Chaffe, Finnerty, Longstaff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DLOC/DLOM · Chaffe · Finnerty · Longstaff</w:t>
      </w:r>
    </w:p>
    <w:p>
      <w:pPr>
        <w:pStyle w:val="Heading2"/>
        <w:spacing w:after="100" w:before="220"/>
      </w:pPr>
      <w:r>
        <w:t xml:space="preserve">Por qué el valor del DCF todavía no es el valor del paquete</w:t>
      </w:r>
    </w:p>
    <w:p>
      <w:pPr>
        <w:spacing w:after="140" w:line="276"/>
      </w:pPr>
      <w:r>
        <w:t xml:space="preserve">El Equity Value del ítem 1 y el valor intrínseco del ítem 4 representan una </w:t>
      </w:r>
      <w:r>
        <w:rPr>
          <w:b/>
          <w:bCs/>
        </w:rPr>
        <w:t xml:space="preserve">participación minoritaria líquida</w:t>
      </w:r>
      <w:r>
        <w:t xml:space="preserve">, porque las tasas y múltiplos que los alimentan se derivan de </w:t>
      </w:r>
      <w:r>
        <w:rPr>
          <w:b/>
          <w:bCs/>
        </w:rPr>
        <w:t xml:space="preserve">empresas cotizadas comparables</w:t>
      </w:r>
      <w:r>
        <w:t xml:space="preserve">. Pero un paquete de acciones de Andina </w:t>
      </w:r>
      <w:r>
        <w:rPr>
          <w:b/>
          <w:bCs/>
        </w:rPr>
        <w:t xml:space="preserve">no es ni líquido ni necesariamente controlante</w:t>
      </w:r>
      <w:r>
        <w:t xml:space="preserve">. Para llegar al valor real del paquete de un socio concreto hay que aplicar, con rigor, dos descuentos: el </w:t>
      </w:r>
      <w:r>
        <w:rPr>
          <w:b/>
          <w:bCs/>
        </w:rPr>
        <w:t xml:space="preserve">DLOC</w:t>
      </w:r>
      <w:r>
        <w:t xml:space="preserve"> (falta de control) y el </w:t>
      </w:r>
      <w:r>
        <w:rPr>
          <w:b/>
          <w:bCs/>
        </w:rPr>
        <w:t xml:space="preserve">DLOM</w:t>
      </w:r>
      <w:r>
        <w:t xml:space="preserve"> (falta de negociabilidad).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DLOC (Discount for Lack of Control)</w:t>
      </w:r>
      <w:r>
        <w:t xml:space="preserve"> cuantifica la pérdida de valor cuando el paquete </w:t>
      </w:r>
      <w:r>
        <w:rPr>
          <w:b/>
          <w:bCs/>
        </w:rPr>
        <w:t xml:space="preserve">carece de derechos políticos y de control</w:t>
      </w:r>
      <w:r>
        <w:t xml:space="preserve"> sobre las decisiones estratégicas. Un socio minoritario no decide dividendos, ni CAPEX, ni la venta de la empresa: su participación vale menos que la de quien controla. Se calcula a partir de la prima de control observada en transacciones: DLOC = 1 − 1/(1 + Prima de Control). Con una prima de mercado del 30%, el descuento implícito es 1 − 1/1,30 = 23,1%.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DLOM (Discount for Lack of Marketability)</w:t>
      </w:r>
      <w:r>
        <w:t xml:space="preserve"> mide la penalización por la </w:t>
      </w:r>
      <w:r>
        <w:rPr>
          <w:b/>
          <w:bCs/>
        </w:rPr>
        <w:t xml:space="preserve">iliquidez intrínseca</w:t>
      </w:r>
      <w:r>
        <w:t xml:space="preserve">: la imposibilidad de vender la participación sin costos significativos ni demoras prolongadas. La gran intuición es que la falta de liquidez equivale al </w:t>
      </w:r>
      <w:r>
        <w:rPr>
          <w:b/>
          <w:bCs/>
        </w:rPr>
        <w:t xml:space="preserve">costo de oportunidad de no tener una opción de venta (put) líquida</w:t>
      </w:r>
      <w:r>
        <w:t xml:space="preserve"> durante el período de tenencia esperado. Por eso el DLOM se modela con teoría de opciones financieras, evitando la arbitrariedad de promedios fijos.</w:t>
      </w:r>
    </w:p>
    <w:p>
      <w:pPr>
        <w:pStyle w:val="Heading2"/>
        <w:spacing w:after="100" w:before="220"/>
      </w:pPr>
      <w:r>
        <w:t xml:space="preserve">Los tres modelos de DLOM: Chaffe, Finnerty, Longstaff</w:t>
      </w:r>
    </w:p>
    <w:p>
      <w:pPr>
        <w:spacing w:after="140" w:line="276"/>
      </w:pPr>
      <w:r>
        <w:rPr>
          <w:b/>
          <w:bCs/>
        </w:rPr>
        <w:t xml:space="preserve">Chaffe (1993)</w:t>
      </w:r>
      <w:r>
        <w:t xml:space="preserve"> modela el DLOM como el precio de una </w:t>
      </w:r>
      <w:r>
        <w:rPr>
          <w:b/>
          <w:bCs/>
        </w:rPr>
        <w:t xml:space="preserve">opción de venta europea (Black-Scholes)</w:t>
      </w:r>
      <w:r>
        <w:t xml:space="preserve"> sobre la acción, con strike igual al precio actual. Con tasa nula y sin dividendos se reduce a DLOM ≈ 2·N(σ·√T/2) − 1. Es muy sensible a la volatilidad: con σ alta genera descuentos grandes que pueden acercarse al valor de liquidación. Sirve como referencia, no como estimación central.</w:t>
      </w:r>
    </w:p>
    <w:p>
      <w:pPr>
        <w:spacing w:after="140" w:line="276"/>
      </w:pPr>
      <w:r>
        <w:rPr>
          <w:b/>
          <w:bCs/>
        </w:rPr>
        <w:t xml:space="preserve">Finnerty (2012)</w:t>
      </w:r>
      <w:r>
        <w:t xml:space="preserve"> corrigió a Chaffe: el accionista atrapado no vende en el pico, sufre un </w:t>
      </w:r>
      <w:r>
        <w:rPr>
          <w:b/>
          <w:bCs/>
        </w:rPr>
        <w:t xml:space="preserve">costo de oportunidad promedio</w:t>
      </w:r>
      <w:r>
        <w:t xml:space="preserve"> a lo largo del horizonte. Por eso usa una </w:t>
      </w:r>
      <w:r>
        <w:rPr>
          <w:b/>
          <w:bCs/>
        </w:rPr>
        <w:t xml:space="preserve">opción asiática de promedio de strike</w:t>
      </w:r>
      <w:r>
        <w:t xml:space="preserve">: DLOM = 1 − 2·N(−σ·√(T/3)/2), equivalente a 2·N(σ·√(T/3)/2) − 1. El √(T/3) viene de la varianza de un promedio aritmético y suaviza el efecto de la volatilidad extrema. Está </w:t>
      </w:r>
      <w:r>
        <w:rPr>
          <w:b/>
          <w:bCs/>
        </w:rPr>
        <w:t xml:space="preserve">acotado por debajo del 100%</w:t>
      </w:r>
      <w:r>
        <w:t xml:space="preserve"> aun con T o σ tendiendo a infinito, por lo que es el </w:t>
      </w:r>
      <w:r>
        <w:rPr>
          <w:b/>
          <w:bCs/>
        </w:rPr>
        <w:t xml:space="preserve">favorito de auditores y fiscos</w:t>
      </w:r>
      <w:r>
        <w:t xml:space="preserve">: rangos conservadores del 12% al 38%. Es la estimación central de la casa.</w:t>
      </w:r>
    </w:p>
    <w:p>
      <w:pPr>
        <w:spacing w:after="140" w:line="276"/>
      </w:pPr>
      <w:r>
        <w:rPr>
          <w:b/>
          <w:bCs/>
        </w:rPr>
        <w:t xml:space="preserve">Longstaff (1995)</w:t>
      </w:r>
      <w:r>
        <w:t xml:space="preserve"> usa una </w:t>
      </w:r>
      <w:r>
        <w:rPr>
          <w:b/>
          <w:bCs/>
        </w:rPr>
        <w:t xml:space="preserve">opción retrospectiva (lookback)</w:t>
      </w:r>
      <w:r>
        <w:t xml:space="preserve">: modela el beneficio máximo que el inversor pierde por no poder vender en el día de máxima cotización. Define el </w:t>
      </w:r>
      <w:r>
        <w:rPr>
          <w:b/>
          <w:bCs/>
        </w:rPr>
        <w:t xml:space="preserve">límite superior absoluto</w:t>
      </w:r>
      <w:r>
        <w:t xml:space="preserve"> del DLOM. Es altamente volátil y se satura rápido, así que se usa como </w:t>
      </w:r>
      <w:r>
        <w:rPr>
          <w:b/>
          <w:bCs/>
        </w:rPr>
        <w:t xml:space="preserve">cota de stress</w:t>
      </w:r>
      <w:r>
        <w:t xml:space="preserve">, no como estimación central. La recomendación: Finnerty central, Chaffe referencia, Longstaff techo.</w:t>
      </w:r>
    </w:p>
    <w:p>
      <w:pPr>
        <w:pStyle w:val="Heading2"/>
        <w:spacing w:after="100" w:before="220"/>
      </w:pPr>
      <w:r>
        <w:t xml:space="preserve">La trampa: NUNCA sumar los descuentos</w:t>
      </w:r>
    </w:p>
    <w:p>
      <w:pPr>
        <w:spacing w:after="140" w:line="276"/>
      </w:pPr>
      <w:r>
        <w:t xml:space="preserve">El error más recurrente en la valuación de capital cerrado es </w:t>
      </w:r>
      <w:r>
        <w:rPr>
          <w:b/>
          <w:bCs/>
        </w:rPr>
        <w:t xml:space="preserve">sumar los descuentos aritméticamente</w:t>
      </w:r>
      <w:r>
        <w:t xml:space="preserve">. El DLOC y el DLOM responden a dimensiones </w:t>
      </w:r>
      <w:r>
        <w:rPr>
          <w:b/>
          <w:bCs/>
        </w:rPr>
        <w:t xml:space="preserve">distintas</w:t>
      </w:r>
      <w:r>
        <w:t xml:space="preserve"> del valor y se aplican en una secuencia </w:t>
      </w:r>
      <w:r>
        <w:rPr>
          <w:b/>
          <w:bCs/>
        </w:rPr>
        <w:t xml:space="preserve">estrictamente multiplicativa, en cascada</w:t>
      </w:r>
      <w:r>
        <w:t xml:space="preserve">: primero el valor base de comparables, luego × (1 − DLOC) para llegar al valor minoritario marketable, y sobre ese resultado × (1 − DLOM) para llegar al valor minoritario NO marketable, que es el definitivo.</w:t>
      </w:r>
    </w:p>
    <w:p>
      <w:pPr>
        <w:spacing w:after="140" w:line="276"/>
      </w:pPr>
      <w:r>
        <w:t xml:space="preserve">El descuento combinado es Descuento Total = 1 − [(1 − DLOC) × (1 − DLOM)]. Con DLOC del 20% y DLOM del 30%, el combinado </w:t>
      </w:r>
      <w:r>
        <w:rPr>
          <w:b/>
          <w:bCs/>
        </w:rPr>
        <w:t xml:space="preserve">no es 50%</w:t>
      </w:r>
      <w:r>
        <w:t xml:space="preserve">: es 1 − [0,80 × 0,70] = 1 − 0,56 = </w:t>
      </w:r>
      <w:r>
        <w:rPr>
          <w:b/>
          <w:bCs/>
        </w:rPr>
        <w:t xml:space="preserve">44%</w:t>
      </w:r>
      <w:r>
        <w:t xml:space="preserve">. La diferencia de 6 puntos sobre una valuación grande es material; sumar destruye la trazabilidad y sobre-castiga el valor. La cascada multiplicativa es la única forma rigurosa.</w:t>
      </w:r>
    </w:p>
    <w:p>
      <w:pPr>
        <w:spacing w:after="140" w:line="276"/>
      </w:pPr>
      <w:r>
        <w:rPr>
          <w:b/>
          <w:bCs/>
        </w:rPr>
        <w:t xml:space="preserve">Interrelación de cierre absoluto del programa:</w:t>
      </w:r>
      <w:r>
        <w:t xml:space="preserve"> este es el último eslabón. El Equity Value del </w:t>
      </w:r>
      <w:r>
        <w:rPr>
          <w:b/>
          <w:bCs/>
        </w:rPr>
        <w:t xml:space="preserve">DCF (ítem 1)</w:t>
      </w:r>
      <w:r>
        <w:t xml:space="preserve"> o el valor intrínseco del </w:t>
      </w:r>
      <w:r>
        <w:rPr>
          <w:b/>
          <w:bCs/>
        </w:rPr>
        <w:t xml:space="preserve">TSR Sintético (ítem 4)</w:t>
      </w:r>
      <w:r>
        <w:t xml:space="preserve"> entran como valor base; sobre ellos se aplica la cascada DLOC→DLOM para responder la pregunta final del dueño: "¿cuánto vale, de verdad, mi parte si la quisiera vender?". Y todo descansa en el </w:t>
      </w:r>
      <w:r>
        <w:rPr>
          <w:b/>
          <w:bCs/>
        </w:rPr>
        <w:t xml:space="preserve">costo del capital (S9)</w:t>
      </w:r>
      <w:r>
        <w:t xml:space="preserve"> y el </w:t>
      </w:r>
      <w:r>
        <w:rPr>
          <w:b/>
          <w:bCs/>
        </w:rPr>
        <w:t xml:space="preserve">diagnóstico de los value drivers (S1–S4)</w:t>
      </w:r>
      <w:r>
        <w:t xml:space="preserve"> que produjeron el FCFF. Acá termina el recorrido: del balance en bruto al valor real, defendible, del paquete de un socio.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base (minoritaria líquida)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1500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Prima de control de mercado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Volatilidad anualizada (σ)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Horizonte a la liquidez (T, años)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DLOC (falta de control)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1-1/(1+primaControl)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DLOM Finnerty (central)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  <w:r>
              <w:rPr>
                <w:i/>
                <w:iCs/>
                <w:sz w:val="18"/>
                <w:szCs w:val="18"/>
              </w:rPr>
              <w:t xml:space="preserve">NORM.S.DIST(sigma</w:t>
            </w:r>
            <w:r>
              <w:rPr>
                <w:sz w:val="18"/>
                <w:szCs w:val="18"/>
              </w:rPr>
              <w:t xml:space="preserve">SQRT(horizonte/3)/2,TRUE)-1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DLOM Chaffe (referencia)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  <w:r>
              <w:rPr>
                <w:i/>
                <w:iCs/>
                <w:sz w:val="18"/>
                <w:szCs w:val="18"/>
              </w:rPr>
              <w:t xml:space="preserve">NORM.S.DIST(sigma</w:t>
            </w:r>
            <w:r>
              <w:rPr>
                <w:sz w:val="18"/>
                <w:szCs w:val="18"/>
              </w:rPr>
              <w:t xml:space="preserve">SQRT(horizonte)/2,TRUE)-1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Descuento total (cascada)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1-(1-dloc)*(1-dlomFinnerty)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del paquete (no marketable)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valorBase*(1-descuentoTotal)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2026-06-24T11:50:52.934Z</dcterms:created>
  <dcterms:modified xsi:type="dcterms:W3CDTF">2026-06-24T11:50:52.934Z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