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18"/>
          <w:szCs w:val="18"/>
        </w:rPr>
        <w:t xml:space="preserve">ACADEMIA FC + IA · Semana 1</w:t>
      </w:r>
    </w:p>
    <w:p>
      <w:pPr>
        <w:pStyle w:val="Title"/>
        <w:spacing w:after="40"/>
      </w:pPr>
      <w:r>
        <w:t xml:space="preserve">Ítem 3. GMROI: margen × rotación de inventario</w:t>
      </w:r>
    </w:p>
    <w:p>
      <w:pPr>
        <w:spacing w:after="40"/>
      </w:pPr>
      <w:r>
        <w:rPr>
          <w:i/>
          <w:iCs/>
          <w:color w:val="555555"/>
          <w:sz w:val="22"/>
          <w:szCs w:val="22"/>
        </w:rPr>
        <w:t xml:space="preserve">Cuánto margen bruto rinde cada peso inmovilizado en stock</w:t>
      </w:r>
    </w:p>
    <w:p>
      <w:pPr>
        <w:spacing w:after="160"/>
      </w:pPr>
      <w:r>
        <w:rPr>
          <w:b/>
          <w:bCs/>
          <w:color w:val="94741F"/>
          <w:sz w:val="18"/>
          <w:szCs w:val="18"/>
        </w:rPr>
        <w:t xml:space="preserve">Marco: value-generation-emerging-markets · GMROI</w:t>
      </w:r>
    </w:p>
    <w:p>
      <w:pPr>
        <w:pStyle w:val="Heading2"/>
        <w:spacing w:after="100" w:before="220"/>
      </w:pPr>
      <w:r>
        <w:t xml:space="preserve">La métrica reina del inventario</w:t>
      </w:r>
    </w:p>
    <w:p>
      <w:pPr>
        <w:spacing w:after="140" w:line="276"/>
      </w:pPr>
      <w:r>
        <w:t xml:space="preserve">El </w:t>
      </w:r>
      <w:r>
        <w:rPr>
          <w:b/>
          <w:bCs/>
        </w:rPr>
        <w:t xml:space="preserve">GMROI (Gross Margin Return on Inventory Investment)</w:t>
      </w:r>
      <w:r>
        <w:t xml:space="preserve"> responde una pregunta brutal y concreta: ¿cuántos dólares de </w:t>
      </w:r>
      <w:r>
        <w:rPr>
          <w:b/>
          <w:bCs/>
        </w:rPr>
        <w:t xml:space="preserve">margen bruto</w:t>
      </w:r>
      <w:r>
        <w:t xml:space="preserve"> genera la empresa por cada dólar invertido (al costo) en </w:t>
      </w:r>
      <w:r>
        <w:rPr>
          <w:b/>
          <w:bCs/>
        </w:rPr>
        <w:t xml:space="preserve">inventario</w:t>
      </w:r>
      <w:r>
        <w:t xml:space="preserve">? Un GMROI de 2,5 significa 2,50 de margen bruto por cada 1,00 inmovilizado en stock. Es la métrica reina del retail y de la distribución —incluido el sector autopartes de Andina, con miles de SKUs.</w:t>
      </w:r>
    </w:p>
    <w:p>
      <w:pPr>
        <w:spacing w:after="140" w:line="276"/>
      </w:pPr>
      <w:r>
        <w:t xml:space="preserve">Su fórmula tiene dos lecturas equivalentes. La directa: </w:t>
      </w:r>
      <w:r>
        <w:rPr>
          <w:b/>
          <w:bCs/>
        </w:rPr>
        <w:t xml:space="preserve">GMROI = Margen Bruto ($) / Inventario promedio (al costo)</w:t>
      </w:r>
      <w:r>
        <w:t xml:space="preserve">. Y la reveladora, que la descompone en dos palancas: </w:t>
      </w:r>
      <w:r>
        <w:rPr>
          <w:b/>
          <w:bCs/>
        </w:rPr>
        <w:t xml:space="preserve">GMROI = Margen Bruto (%) × Rotación de inventario</w:t>
      </w:r>
      <w:r>
        <w:t xml:space="preserve">, donde la </w:t>
      </w:r>
      <w:r>
        <w:rPr>
          <w:b/>
          <w:bCs/>
        </w:rPr>
        <w:t xml:space="preserve">Rotación = CMV / Inventario promedio</w:t>
      </w:r>
      <w:r>
        <w:t xml:space="preserve">. Esta segunda forma une </w:t>
      </w:r>
      <w:r>
        <w:rPr>
          <w:b/>
          <w:bCs/>
        </w:rPr>
        <w:t xml:space="preserve">rentabilidad</w:t>
      </w:r>
      <w:r>
        <w:t xml:space="preserve"> (margen) con </w:t>
      </w:r>
      <w:r>
        <w:rPr>
          <w:b/>
          <w:bCs/>
        </w:rPr>
        <w:t xml:space="preserve">eficiencia de capital</w:t>
      </w:r>
      <w:r>
        <w:t xml:space="preserve"> (rotación) en un solo número.</w:t>
      </w:r>
    </w:p>
    <w:p>
      <w:pPr>
        <w:spacing w:after="140" w:line="276"/>
      </w:pPr>
      <w:r>
        <w:t xml:space="preserve">En </w:t>
      </w:r>
      <w:r>
        <w:rPr>
          <w:b/>
          <w:bCs/>
        </w:rPr>
        <w:t xml:space="preserve">Andina 2024</w:t>
      </w:r>
      <w:r>
        <w:t xml:space="preserve">: el margen bruto es 2.460, el inventario promedio es (1.850 + 2.400) / 2 = 2.125, y el CMV es 5.740. Entonces la rotación es 5.740 / 2.125 = 2,70 vueltas al año, el margen bruto porcentual es 2.460 / 8.200 = 30%, y el </w:t>
      </w:r>
      <w:r>
        <w:rPr>
          <w:b/>
          <w:bCs/>
        </w:rPr>
        <w:t xml:space="preserve">GMROI = 0,30 × 2,70 = 0,81</w:t>
      </w:r>
      <w:r>
        <w:t xml:space="preserve"> (equivalente: 2.460 / 2.125 = 1,16 sobre inventario de cierre; con promedio, 0,81 sobre margen-costo). El umbral de salud es GMROI &gt; 1: Andina está en zona de alerta.</w:t>
      </w:r>
    </w:p>
    <w:p>
      <w:pPr>
        <w:pStyle w:val="Heading2"/>
        <w:spacing w:after="100" w:before="220"/>
      </w:pPr>
      <w:r>
        <w:t xml:space="preserve">Dos productos, dos formas de ganar</w:t>
      </w:r>
    </w:p>
    <w:p>
      <w:pPr>
        <w:spacing w:after="140" w:line="276"/>
      </w:pPr>
      <w:r>
        <w:t xml:space="preserve">La potencia del GMROI es que distingue </w:t>
      </w:r>
      <w:r>
        <w:rPr>
          <w:b/>
          <w:bCs/>
        </w:rPr>
        <w:t xml:space="preserve">dos modelos de negocio</w:t>
      </w:r>
      <w:r>
        <w:t xml:space="preserve"> que el margen solo no separa. Un producto de </w:t>
      </w:r>
      <w:r>
        <w:rPr>
          <w:b/>
          <w:bCs/>
        </w:rPr>
        <w:t xml:space="preserve">margen alto y rotación baja</w:t>
      </w:r>
      <w:r>
        <w:t xml:space="preserve"> (la joyería: vende poco pero deja mucho) puede tener el mismo GMROI que uno de </w:t>
      </w:r>
      <w:r>
        <w:rPr>
          <w:b/>
          <w:bCs/>
        </w:rPr>
        <w:t xml:space="preserve">margen bajo y rotación alta</w:t>
      </w:r>
      <w:r>
        <w:t xml:space="preserve"> (el consumo masivo: deja poco pero vuela). El GMROI los pone en la misma vara: lo que importa es el margen que rinde el capital inmovilizado, no el margen aislado.</w:t>
      </w:r>
    </w:p>
    <w:p>
      <w:pPr>
        <w:spacing w:after="140" w:line="276"/>
      </w:pPr>
      <w:r>
        <w:t xml:space="preserve">En autopartes esto es decisivo. Un filtro de aceite premium de alta rotación (clase AX en la matriz ABC/XYZ) puede rendir un GMROI excelente con stock mínimo, mientras un sensor electrónico raro de baja rotación inmoviliza capital aunque tenga buen margen unitario. El GMROI por SKU le dice al dueño qué mantener, qué repriorizar y qué descontinuar.</w:t>
      </w:r>
    </w:p>
    <w:p>
      <w:pPr>
        <w:spacing w:after="140" w:line="276"/>
      </w:pPr>
      <w:r>
        <w:t xml:space="preserve">La </w:t>
      </w:r>
      <w:r>
        <w:rPr>
          <w:b/>
          <w:bCs/>
        </w:rPr>
        <w:t xml:space="preserve">interrelación</w:t>
      </w:r>
      <w:r>
        <w:t xml:space="preserve"> es directa: subir el GMROI casi siempre pasa por subir la </w:t>
      </w:r>
      <w:r>
        <w:rPr>
          <w:b/>
          <w:bCs/>
        </w:rPr>
        <w:t xml:space="preserve">rotación</w:t>
      </w:r>
      <w:r>
        <w:t xml:space="preserve">, lo que significa bajar el </w:t>
      </w:r>
      <w:r>
        <w:rPr>
          <w:b/>
          <w:bCs/>
        </w:rPr>
        <w:t xml:space="preserve">inventario promedio</w:t>
      </w:r>
      <w:r>
        <w:t xml:space="preserve"> sin perder ventas. Eso reduce los </w:t>
      </w:r>
      <w:r>
        <w:rPr>
          <w:b/>
          <w:bCs/>
        </w:rPr>
        <w:t xml:space="preserve">días de inventario (DIO)</w:t>
      </w:r>
      <w:r>
        <w:t xml:space="preserve">, comprime el </w:t>
      </w:r>
      <w:r>
        <w:rPr>
          <w:b/>
          <w:bCs/>
        </w:rPr>
        <w:t xml:space="preserve">Ciclo de Conversión de Efectivo</w:t>
      </w:r>
      <w:r>
        <w:t xml:space="preserve"> (ítem 4), libera capital de trabajo, baja el Capital Invertido y —con igual NOPAT— sube el ROIC. La cadena va del estante al valor de la firma.</w:t>
      </w:r>
    </w:p>
    <w:p>
      <w:pPr>
        <w:pStyle w:val="Heading2"/>
        <w:spacing w:after="100" w:before="220"/>
      </w:pPr>
      <w:r>
        <w:t xml:space="preserve">La palanca ABC/XYZ y los límites del GMROI</w:t>
      </w:r>
    </w:p>
    <w:p>
      <w:pPr>
        <w:spacing w:after="140" w:line="276"/>
      </w:pPr>
      <w:r>
        <w:t xml:space="preserve">La herramienta operativa que mueve el GMROI es la </w:t>
      </w:r>
      <w:r>
        <w:rPr>
          <w:b/>
          <w:bCs/>
        </w:rPr>
        <w:t xml:space="preserve">matriz ABC/XYZ</w:t>
      </w:r>
      <w:r>
        <w:t xml:space="preserve">: clasificar los SKUs por </w:t>
      </w:r>
      <w:r>
        <w:rPr>
          <w:b/>
          <w:bCs/>
        </w:rPr>
        <w:t xml:space="preserve">valor</w:t>
      </w:r>
      <w:r>
        <w:t xml:space="preserve"> (ABC, regla de Pareto: pocos ítems concentran el 80% del valor) y por </w:t>
      </w:r>
      <w:r>
        <w:rPr>
          <w:b/>
          <w:bCs/>
        </w:rPr>
        <w:t xml:space="preserve">variabilidad de la demanda</w:t>
      </w:r>
      <w:r>
        <w:t xml:space="preserve"> (XYZ, según el coeficiente de variación). El cruce 3×3 define una política de stock por celda: JIT y stock mínimo para los AX (alto valor, demanda estable), gestión bajo pedido para los CZ (bajo valor, errático, candidatos a liquidar).</w:t>
      </w:r>
    </w:p>
    <w:p>
      <w:pPr>
        <w:spacing w:after="140" w:line="276"/>
      </w:pPr>
      <w:r>
        <w:t xml:space="preserve">En Andina, los 420 de </w:t>
      </w:r>
      <w:r>
        <w:rPr>
          <w:b/>
          <w:bCs/>
        </w:rPr>
        <w:t xml:space="preserve">mercadería obsoleta o de lenta rotación</w:t>
      </w:r>
      <w:r>
        <w:t xml:space="preserve"> valuada a costo histórico son justamente capital muerto en celdas tipo CZ/AZ: stock que infla el inventario, baja la rotación, hunde el GMROI y a precio de mercado vale menos (de ahí que el inventario real sea 1.980 y no 2.400). Liquidar ese stock sube el GMROI por dos vías: reduce el denominador y libera caja.</w:t>
      </w:r>
    </w:p>
    <w:p>
      <w:pPr>
        <w:spacing w:after="140" w:line="276"/>
      </w:pPr>
      <w:r>
        <w:t xml:space="preserve">El GMROI tiene </w:t>
      </w:r>
      <w:r>
        <w:rPr>
          <w:b/>
          <w:bCs/>
        </w:rPr>
        <w:t xml:space="preserve">límites</w:t>
      </w:r>
      <w:r>
        <w:t xml:space="preserve"> que conviene tener presentes: solo considera el margen </w:t>
      </w:r>
      <w:r>
        <w:rPr>
          <w:b/>
          <w:bCs/>
        </w:rPr>
        <w:t xml:space="preserve">bruto</w:t>
      </w:r>
      <w:r>
        <w:t xml:space="preserve"> (ignora costos de almacenamiento, seguros y obsolescencia más allá de lo bruto); es sensible al método de valuación del inventario (FIFO / PPP), crítico en alta inflación; y puede incentivar un recorte excesivo de stock que dispare quiebres y pérdida de ventas. Por eso se lee junto al servicio al cliente, no contra él.</w:t>
      </w:r>
    </w:p>
    <w:p>
      <w:pPr>
        <w:pStyle w:val="Heading2"/>
        <w:spacing w:after="100" w:before="220"/>
      </w:pPr>
      <w:r>
        <w:t xml:space="preserve">El modelo: variables y fórmulas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Variable de entrada</w:t>
            </w:r>
          </w:p>
        </w:tc>
        <w:tc>
          <w:tcPr>
            <w:shd w:fill="0B1120" w:color="0B1120" w:val="solid"/>
          </w:tcPr>
          <w:p>
            <w:r>
              <w:rPr>
                <w:b/>
                <w:bCs/>
                <w:color w:val="FFFFFF"/>
                <w:sz w:val="18"/>
                <w:szCs w:val="18"/>
              </w:rPr>
              <w:t xml:space="preserve">Valor base</w:t>
            </w:r>
          </w:p>
        </w:tc>
      </w:tr>
      <w:tr>
        <w:tc>
          <w:p>
            <w:pPr>
              <w:jc w:val="left"/>
            </w:pPr>
            <w:r>
              <w:rPr>
                <w:sz w:val="18"/>
                <w:szCs w:val="18"/>
              </w:rPr>
              <w:t xml:space="preserve">Margen bruto ($)</w:t>
            </w:r>
          </w:p>
        </w:tc>
        <w:tc>
          <w:p>
            <w:pPr>
              <w:jc w:val="right"/>
            </w:pPr>
            <w:r>
              <w:rPr>
                <w:sz w:val="18"/>
                <w:szCs w:val="18"/>
              </w:rPr>
              <w:t xml:space="preserve">2460</w:t>
            </w:r>
          </w:p>
        </w:tc>
      </w:tr>
      <w:tr>
        <w:tc>
          <w:p>
            <w:pPr>
              <w:jc w:val="left"/>
            </w:pPr>
            <w:r>
              <w:rPr>
                <w:sz w:val="18"/>
                <w:szCs w:val="18"/>
              </w:rPr>
              <w:t xml:space="preserve">Ventas netas</w:t>
            </w:r>
          </w:p>
        </w:tc>
        <w:tc>
          <w:p>
            <w:pPr>
              <w:jc w:val="right"/>
            </w:pPr>
            <w:r>
              <w:rPr>
                <w:sz w:val="18"/>
                <w:szCs w:val="18"/>
              </w:rPr>
              <w:t xml:space="preserve">8200</w:t>
            </w:r>
          </w:p>
        </w:tc>
      </w:tr>
      <w:tr>
        <w:tc>
          <w:p>
            <w:pPr>
              <w:jc w:val="left"/>
            </w:pPr>
            <w:r>
              <w:rPr>
                <w:sz w:val="18"/>
                <w:szCs w:val="18"/>
              </w:rPr>
              <w:t xml:space="preserve">Costo de mercadería vendida</w:t>
            </w:r>
          </w:p>
        </w:tc>
        <w:tc>
          <w:p>
            <w:pPr>
              <w:jc w:val="right"/>
            </w:pPr>
            <w:r>
              <w:rPr>
                <w:sz w:val="18"/>
                <w:szCs w:val="18"/>
              </w:rPr>
              <w:t xml:space="preserve">5740</w:t>
            </w:r>
          </w:p>
        </w:tc>
      </w:tr>
      <w:tr>
        <w:tc>
          <w:p>
            <w:pPr>
              <w:jc w:val="left"/>
            </w:pPr>
            <w:r>
              <w:rPr>
                <w:sz w:val="18"/>
                <w:szCs w:val="18"/>
              </w:rPr>
              <w:t xml:space="preserve">Inventario promedio (al costo)</w:t>
            </w:r>
          </w:p>
        </w:tc>
        <w:tc>
          <w:p>
            <w:pPr>
              <w:jc w:val="right"/>
            </w:pPr>
            <w:r>
              <w:rPr>
                <w:sz w:val="18"/>
                <w:szCs w:val="18"/>
              </w:rPr>
              <w:t xml:space="preserve">2125</w:t>
            </w:r>
          </w:p>
        </w:tc>
      </w:tr>
    </w:tbl>
    <w:p>
      <w:pPr>
        <w:spacing w:after="1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Indicador calculado</w:t>
            </w:r>
          </w:p>
        </w:tc>
        <w:tc>
          <w:tcPr>
            <w:shd w:fill="0B1120" w:color="0B1120" w:val="solid"/>
          </w:tcPr>
          <w:p>
            <w:r>
              <w:rPr>
                <w:b/>
                <w:bCs/>
                <w:color w:val="FFFFFF"/>
                <w:sz w:val="18"/>
                <w:szCs w:val="18"/>
              </w:rPr>
              <w:t xml:space="preserve">Fórmula</w:t>
            </w:r>
          </w:p>
        </w:tc>
      </w:tr>
      <w:tr>
        <w:tc>
          <w:p>
            <w:pPr>
              <w:jc w:val="left"/>
            </w:pPr>
            <w:r>
              <w:rPr>
                <w:sz w:val="18"/>
                <w:szCs w:val="18"/>
              </w:rPr>
              <w:t xml:space="preserve">Margen bruto (%)</w:t>
            </w:r>
          </w:p>
        </w:tc>
        <w:tc>
          <w:p>
            <w:pPr>
              <w:jc w:val="right"/>
            </w:pPr>
            <w:r>
              <w:rPr>
                <w:sz w:val="18"/>
                <w:szCs w:val="18"/>
              </w:rPr>
              <w:t xml:space="preserve">margenBrutoMon/ventas</w:t>
            </w:r>
          </w:p>
        </w:tc>
      </w:tr>
      <w:tr>
        <w:tc>
          <w:p>
            <w:pPr>
              <w:jc w:val="left"/>
            </w:pPr>
            <w:r>
              <w:rPr>
                <w:sz w:val="18"/>
                <w:szCs w:val="18"/>
              </w:rPr>
              <w:t xml:space="preserve">Rotación de inventario (CMV / inv.)</w:t>
            </w:r>
          </w:p>
        </w:tc>
        <w:tc>
          <w:p>
            <w:pPr>
              <w:jc w:val="right"/>
            </w:pPr>
            <w:r>
              <w:rPr>
                <w:sz w:val="18"/>
                <w:szCs w:val="18"/>
              </w:rPr>
              <w:t xml:space="preserve">cmv/invProm</w:t>
            </w:r>
          </w:p>
        </w:tc>
      </w:tr>
      <w:tr>
        <w:tc>
          <w:p>
            <w:pPr>
              <w:jc w:val="left"/>
            </w:pPr>
            <w:r>
              <w:rPr>
                <w:sz w:val="18"/>
                <w:szCs w:val="18"/>
              </w:rPr>
              <w:t xml:space="preserve">GMROI (margen × rotación)</w:t>
            </w:r>
          </w:p>
        </w:tc>
        <w:tc>
          <w:p>
            <w:pPr>
              <w:jc w:val="right"/>
            </w:pPr>
            <w:r>
              <w:rPr>
                <w:sz w:val="18"/>
                <w:szCs w:val="18"/>
              </w:rPr>
              <w:t xml:space="preserve">margenPct*rotacion</w:t>
            </w:r>
          </w:p>
        </w:tc>
      </w:tr>
      <w:tr>
        <w:tc>
          <w:p>
            <w:pPr>
              <w:jc w:val="left"/>
            </w:pPr>
            <w:r>
              <w:rPr>
                <w:sz w:val="18"/>
                <w:szCs w:val="18"/>
              </w:rPr>
              <w:t xml:space="preserve">Días de inventario (DIO)</w:t>
            </w:r>
          </w:p>
        </w:tc>
        <w:tc>
          <w:p>
            <w:pPr>
              <w:jc w:val="right"/>
            </w:pPr>
            <w:r>
              <w:rPr>
                <w:sz w:val="18"/>
                <w:szCs w:val="18"/>
              </w:rPr>
              <w:t xml:space="preserve">invProm/cmv*365</w:t>
            </w:r>
          </w:p>
        </w:tc>
      </w:tr>
    </w:tbl>
    <w:p>
      <w:pPr>
        <w:spacing w:before="160"/>
      </w:pPr>
      <w:r>
        <w:t xml:space="preserve">Abrí el </w:t>
      </w:r>
      <w:r>
        <w:rPr>
          <w:b/>
          <w:bCs/>
        </w:rPr>
        <w:t xml:space="preserve">modelo interactivo</w:t>
      </w:r>
      <w:r>
        <w:t xml:space="preserve"> de este ítem en la plataforma para mover las variables en vivo, y usá el Excel para construir tu propio caso con matrices dinámicas.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36"/>
      <w:szCs w:val="36"/>
    </w:rPr>
  </w:style>
  <w:style w:type="paragraph" w:styleId="Heading2">
    <w:name w:val="Heading 2"/>
    <w:pPr>
      <w:spacing w:after="100" w:before="200"/>
    </w:pPr>
    <w:rPr>
      <w:b/>
      <w:bCs/>
      <w:color w:val="947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2026-06-24T11:50:52.000Z</dcterms:created>
  <dcterms:modified xsi:type="dcterms:W3CDTF">2026-06-24T11:50:52.000Z</dcterms:modified>
</cp:coreProperties>
</file>

<file path=docProps/custom.xml><?xml version="1.0" encoding="utf-8"?>
<Properties xmlns="http://schemas.openxmlformats.org/officeDocument/2006/custom-properties" xmlns:vt="http://schemas.openxmlformats.org/officeDocument/2006/docPropsVTypes"/>
</file>