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D4AF37"/>
          <w:sz w:val="18"/>
          <w:szCs w:val="18"/>
        </w:rPr>
        <w:t xml:space="preserve">ACADEMIA FC + IA · Semana 1</w:t>
      </w:r>
    </w:p>
    <w:p>
      <w:pPr>
        <w:pStyle w:val="Title"/>
        <w:spacing w:after="40"/>
      </w:pPr>
      <w:r>
        <w:t xml:space="preserve">Ítem 4. Ciclo de Conversión de Efectivo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Cuántos días queda atrapada la caja: DIO + DSO − DPO</w:t>
      </w:r>
    </w:p>
    <w:p>
      <w:pPr>
        <w:spacing w:after="160"/>
      </w:pPr>
      <w:r>
        <w:rPr>
          <w:b/>
          <w:bCs/>
          <w:color w:val="94741F"/>
          <w:sz w:val="18"/>
          <w:szCs w:val="18"/>
        </w:rPr>
        <w:t xml:space="preserve">Marco: value-generation-emerging-markets · CCE</w:t>
      </w:r>
    </w:p>
    <w:p>
      <w:pPr>
        <w:pStyle w:val="Heading2"/>
        <w:spacing w:after="100" w:before="220"/>
      </w:pPr>
      <w:r>
        <w:t xml:space="preserve">El corazón del capital de trabajo</w:t>
      </w:r>
    </w:p>
    <w:p>
      <w:pPr>
        <w:spacing w:after="140" w:line="276"/>
      </w:pPr>
      <w:r>
        <w:t xml:space="preserve">El </w:t>
      </w:r>
      <w:r>
        <w:rPr>
          <w:b/>
          <w:bCs/>
        </w:rPr>
        <w:t xml:space="preserve">Ciclo de Conversión de Efectivo (CCE)</w:t>
      </w:r>
      <w:r>
        <w:t xml:space="preserve"> mide cuántos </w:t>
      </w:r>
      <w:r>
        <w:rPr>
          <w:b/>
          <w:bCs/>
        </w:rPr>
        <w:t xml:space="preserve">días</w:t>
      </w:r>
      <w:r>
        <w:t xml:space="preserve"> transcurren desde que la empresa </w:t>
      </w:r>
      <w:r>
        <w:rPr>
          <w:b/>
          <w:bCs/>
        </w:rPr>
        <w:t xml:space="preserve">paga</w:t>
      </w:r>
      <w:r>
        <w:t xml:space="preserve"> a sus proveedores hasta que </w:t>
      </w:r>
      <w:r>
        <w:rPr>
          <w:b/>
          <w:bCs/>
        </w:rPr>
        <w:t xml:space="preserve">cobra</w:t>
      </w:r>
      <w:r>
        <w:t xml:space="preserve"> de sus clientes: cuánto tiempo la caja queda inmovilizada en el ciclo operativo. Es el corazón del capital de trabajo y, en mercados emergentes con crédito caro y escaso, la palanca de mayor retorno que tiene una PyME.</w:t>
      </w:r>
    </w:p>
    <w:p>
      <w:pPr>
        <w:spacing w:after="140" w:line="276"/>
      </w:pPr>
      <w:r>
        <w:t xml:space="preserve">Se descompone en tres componentes: </w:t>
      </w:r>
      <w:r>
        <w:rPr>
          <w:b/>
          <w:bCs/>
        </w:rPr>
        <w:t xml:space="preserve">CCE = DIO + DSO − DPO</w:t>
      </w:r>
      <w:r>
        <w:t xml:space="preserve">. El </w:t>
      </w:r>
      <w:r>
        <w:rPr>
          <w:b/>
          <w:bCs/>
        </w:rPr>
        <w:t xml:space="preserve">DIO (Días de Inventario)</w:t>
      </w:r>
      <w:r>
        <w:t xml:space="preserve"> = Inventario / CMV × 365: cuánto tarda en venderse el stock. El </w:t>
      </w:r>
      <w:r>
        <w:rPr>
          <w:b/>
          <w:bCs/>
        </w:rPr>
        <w:t xml:space="preserve">DSO (Días de Cobranza)</w:t>
      </w:r>
      <w:r>
        <w:t xml:space="preserve"> = Cuentas por Cobrar / Ventas × 365: cuánto tarda en cobrarse una venta. Y el </w:t>
      </w:r>
      <w:r>
        <w:rPr>
          <w:b/>
          <w:bCs/>
        </w:rPr>
        <w:t xml:space="preserve">DPO (Días de Pago)</w:t>
      </w:r>
      <w:r>
        <w:t xml:space="preserve"> = Proveedores / CMV × 365: cuánto tarda la empresa en pagarle a sus proveedores —financiamiento gratuito que se </w:t>
      </w:r>
      <w:r>
        <w:rPr>
          <w:b/>
          <w:bCs/>
        </w:rPr>
        <w:t xml:space="preserve">resta</w:t>
      </w:r>
      <w:r>
        <w:t xml:space="preserve">.</w:t>
      </w:r>
    </w:p>
    <w:p>
      <w:pPr>
        <w:spacing w:after="140" w:line="276"/>
      </w:pPr>
      <w:r>
        <w:t xml:space="preserve">En </w:t>
      </w:r>
      <w:r>
        <w:rPr>
          <w:b/>
          <w:bCs/>
        </w:rPr>
        <w:t xml:space="preserve">Andina 2024</w:t>
      </w:r>
      <w:r>
        <w:t xml:space="preserve">: DIO = 2.400 / 5.740 × 365 = </w:t>
      </w:r>
      <w:r>
        <w:rPr>
          <w:b/>
          <w:bCs/>
        </w:rPr>
        <w:t xml:space="preserve">153 días</w:t>
      </w:r>
      <w:r>
        <w:t xml:space="preserve">; DSO = 1.850 / 8.200 × 365 = </w:t>
      </w:r>
      <w:r>
        <w:rPr>
          <w:b/>
          <w:bCs/>
        </w:rPr>
        <w:t xml:space="preserve">82 días</w:t>
      </w:r>
      <w:r>
        <w:t xml:space="preserve">; DPO = 1.280 / 5.740 × 365 = </w:t>
      </w:r>
      <w:r>
        <w:rPr>
          <w:b/>
          <w:bCs/>
        </w:rPr>
        <w:t xml:space="preserve">81 días</w:t>
      </w:r>
      <w:r>
        <w:t xml:space="preserve">. Entonces </w:t>
      </w:r>
      <w:r>
        <w:rPr>
          <w:b/>
          <w:bCs/>
        </w:rPr>
        <w:t xml:space="preserve">CCE = 153 + 82 − 81 = 154 días</w:t>
      </w:r>
      <w:r>
        <w:t xml:space="preserve">. Es decir: Andina financia más de cinco meses de operación con caja propia (o con descubierto). Ahí está la raíz de la tensión de caja que ningún margen del ER explica.</w:t>
      </w:r>
    </w:p>
    <w:p>
      <w:pPr>
        <w:pStyle w:val="Heading2"/>
        <w:spacing w:after="100" w:before="220"/>
      </w:pPr>
      <w:r>
        <w:t xml:space="preserve">De días a dólares: el costo del ciclo</w:t>
      </w:r>
    </w:p>
    <w:p>
      <w:pPr>
        <w:spacing w:after="140" w:line="276"/>
      </w:pPr>
      <w:r>
        <w:t xml:space="preserve">El CCE se traduce a plata multiplicando los días por el costo o la venta diaria. Con un CMV diario de 5.740 / 365 = 15,7 por día, cada día de ciclo equivale a capital de trabajo inmovilizado. Un CCE de 154 días sobre la base operativa de Andina son cientos de miles de dólares atrapados en cobranzas e inventarios que podrían estar en la caja —o no estar tomados al 85% de descubierto.</w:t>
      </w:r>
    </w:p>
    <w:p>
      <w:pPr>
        <w:spacing w:after="140" w:line="276"/>
      </w:pPr>
      <w:r>
        <w:t xml:space="preserve">Por eso reducir el CCE </w:t>
      </w:r>
      <w:r>
        <w:rPr>
          <w:b/>
          <w:bCs/>
        </w:rPr>
        <w:t xml:space="preserve">libera caja sin financiamiento externo</w:t>
      </w:r>
      <w:r>
        <w:t xml:space="preserve">: es oro puro en Argentina y Ecuador. Cada día menos de DIO o de DSO es un día menos de capital atrapado. Si Andina bajara su inventario al nivel real de rotación y acelerara la cobranza de los 290 en mora, recortaría decenas de días de ciclo y aliviaría el descubierto que le come el resultado.</w:t>
      </w:r>
    </w:p>
    <w:p>
      <w:pPr>
        <w:spacing w:after="140" w:line="276"/>
      </w:pPr>
      <w:r>
        <w:t xml:space="preserve">Un CCE </w:t>
      </w:r>
      <w:r>
        <w:rPr>
          <w:b/>
          <w:bCs/>
        </w:rPr>
        <w:t xml:space="preserve">negativo</w:t>
      </w:r>
      <w:r>
        <w:t xml:space="preserve"> (cobrar antes de pagar, modelo supermercado o e-commerce) significa que los proveedores financian la operación entera: capital de trabajo a favor. Andina está en el extremo opuesto: un ciclo largo y positivo, agravado por cobranzas lentas e inventario inflado. El DPO de 81 días apenas compensa el DIO de 153.</w:t>
      </w:r>
    </w:p>
    <w:p>
      <w:pPr>
        <w:pStyle w:val="Heading2"/>
        <w:spacing w:after="100" w:before="220"/>
      </w:pPr>
      <w:r>
        <w:t xml:space="preserve">Las palancas y la cadena hacia el valor</w:t>
      </w:r>
    </w:p>
    <w:p>
      <w:pPr>
        <w:spacing w:after="140" w:line="276"/>
      </w:pPr>
      <w:r>
        <w:t xml:space="preserve">Cada componente tiene su palanca operativa concreta. El </w:t>
      </w:r>
      <w:r>
        <w:rPr>
          <w:b/>
          <w:bCs/>
        </w:rPr>
        <w:t xml:space="preserve">DIO</w:t>
      </w:r>
      <w:r>
        <w:t xml:space="preserve"> se ataca con la matriz </w:t>
      </w:r>
      <w:r>
        <w:rPr>
          <w:b/>
          <w:bCs/>
        </w:rPr>
        <w:t xml:space="preserve">ABC/XYZ</w:t>
      </w:r>
      <w:r>
        <w:t xml:space="preserve"> (ítem 3): mejor gestión de stock por SKU. El </w:t>
      </w:r>
      <w:r>
        <w:rPr>
          <w:b/>
          <w:bCs/>
        </w:rPr>
        <w:t xml:space="preserve">DSO</w:t>
      </w:r>
      <w:r>
        <w:t xml:space="preserve"> se ataca con la matriz de </w:t>
      </w:r>
      <w:r>
        <w:rPr>
          <w:b/>
          <w:bCs/>
        </w:rPr>
        <w:t xml:space="preserve">cobranzas (aging vs. reclamo)</w:t>
      </w:r>
      <w:r>
        <w:t xml:space="preserve">: priorizar la gestión sobre las cuentas muy vencidas y poco reclamadas —en Andina, los 290 en mora de más de 120 días son justamente la "zona crítica" que requiere acción legal y previsión. El </w:t>
      </w:r>
      <w:r>
        <w:rPr>
          <w:b/>
          <w:bCs/>
        </w:rPr>
        <w:t xml:space="preserve">DPO</w:t>
      </w:r>
      <w:r>
        <w:t xml:space="preserve"> se gestiona negociando plazo con proveedores sin perder descuentos por pronto pago.</w:t>
      </w:r>
    </w:p>
    <w:p>
      <w:pPr>
        <w:spacing w:after="140" w:line="276"/>
      </w:pPr>
      <w:r>
        <w:rPr>
          <w:b/>
          <w:bCs/>
        </w:rPr>
        <w:t xml:space="preserve">La interrelación es la columna vertebral del programa.</w:t>
      </w:r>
      <w:r>
        <w:t xml:space="preserve"> El CCE es el puente entre la operación cotidiana y el balance: días de inventario + cobranza − pago → capital de trabajo → parte del </w:t>
      </w:r>
      <w:r>
        <w:rPr>
          <w:b/>
          <w:bCs/>
        </w:rPr>
        <w:t xml:space="preserve">Capital Invertido</w:t>
      </w:r>
      <w:r>
        <w:t xml:space="preserve">. Bajar el CCE baja el Capital Invertido y, con igual NOPAT, </w:t>
      </w:r>
      <w:r>
        <w:rPr>
          <w:b/>
          <w:bCs/>
        </w:rPr>
        <w:t xml:space="preserve">sube el ROIC</w:t>
      </w:r>
      <w:r>
        <w:t xml:space="preserve">, amplía el spread ROIC − WACC, aumenta el EVA y sube el valor de la firma. Es la rama más accionable del árbol de generadores de valor en emergentes.</w:t>
      </w:r>
    </w:p>
    <w:p>
      <w:pPr>
        <w:spacing w:after="140" w:line="276"/>
      </w:pPr>
      <w:r>
        <w:t xml:space="preserve">El CCE tiene </w:t>
      </w:r>
      <w:r>
        <w:rPr>
          <w:b/>
          <w:bCs/>
        </w:rPr>
        <w:t xml:space="preserve">límites</w:t>
      </w:r>
      <w:r>
        <w:t xml:space="preserve">: usa promedios que pueden ocultar </w:t>
      </w:r>
      <w:r>
        <w:rPr>
          <w:b/>
          <w:bCs/>
        </w:rPr>
        <w:t xml:space="preserve">estacionalidad</w:t>
      </w:r>
      <w:r>
        <w:t xml:space="preserve">, es sensible al maquillaje de cierre de período, y un CCE negativo no siempre es virtuoso (puede reflejar poder abusivo sobre proveedores o quiebres de stock). Además no distingue la </w:t>
      </w:r>
      <w:r>
        <w:rPr>
          <w:b/>
          <w:bCs/>
        </w:rPr>
        <w:t xml:space="preserve">calidad</w:t>
      </w:r>
      <w:r>
        <w:t xml:space="preserve"> de las cuentas por cobrar —de ahí que la matriz de cobranzas lo complemente. Pero como diagnóstico de dónde está atrapada la caja, no tiene rival.</w:t>
      </w:r>
    </w:p>
    <w:p>
      <w:pPr>
        <w:pStyle w:val="Heading2"/>
        <w:spacing w:after="100" w:before="220"/>
      </w:pPr>
      <w:r>
        <w:t xml:space="preserve">El modelo: variables y fórmulas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 de entrada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Inventarios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2400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Cuentas por cobrar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1850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Proveedores comerciales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1280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Ventas netas (anuales)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8200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Costo de mercadería vendida (anual)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5740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calculado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DIO (días de inventario)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inventario/cmv*365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DSO (días de cobranza)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cxc/ventas*365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DPO (días de pago)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proveedores/cmv*365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Ciclo de Conversión de Efectivo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dio+dso-dpo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Caja atrapada (CCE × CMV diario)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cce*(cmv/365)</w:t>
            </w:r>
          </w:p>
        </w:tc>
      </w:tr>
    </w:tbl>
    <w:p>
      <w:pPr>
        <w:spacing w:before="160"/>
      </w:pPr>
      <w:r>
        <w:t xml:space="preserve">Abrí el </w:t>
      </w:r>
      <w:r>
        <w:rPr>
          <w:b/>
          <w:bCs/>
        </w:rPr>
        <w:t xml:space="preserve">modelo interactivo</w:t>
      </w:r>
      <w:r>
        <w:t xml:space="preserve"> de este ítem en la plataforma para mover las variables en vivo, y usá el Excel para construir tu propio caso con matrices dinámicas.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b/>
      <w:bCs/>
      <w:color w:val="0B1120"/>
      <w:sz w:val="36"/>
      <w:szCs w:val="36"/>
    </w:rPr>
  </w:style>
  <w:style w:type="paragraph" w:styleId="Heading2">
    <w:name w:val="Heading 2"/>
    <w:pPr>
      <w:spacing w:after="100" w:before="200"/>
    </w:pPr>
    <w:rPr>
      <w:b/>
      <w:bCs/>
      <w:color w:val="9474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2026-06-24T11:50:52.014Z</dcterms:created>
  <dcterms:modified xsi:type="dcterms:W3CDTF">2026-06-24T11:50:52.014Z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