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2</w:t>
      </w:r>
    </w:p>
    <w:p>
      <w:pPr>
        <w:pStyle w:val="Title"/>
        <w:spacing w:after="40"/>
      </w:pPr>
      <w:r>
        <w:t xml:space="preserve">Ítem 5. Control: estimado vs. realmente sucedido</w:t>
      </w:r>
    </w:p>
    <w:p>
      <w:pPr>
        <w:spacing w:after="40"/>
      </w:pPr>
      <w:r>
        <w:rPr>
          <w:i/>
          <w:iCs/>
          <w:color w:val="555555"/>
          <w:sz w:val="22"/>
          <w:szCs w:val="22"/>
        </w:rPr>
        <w:t xml:space="preserve">El presupuesto contra la realidad: el desvío que enseña</w:t>
      </w:r>
    </w:p>
    <w:p>
      <w:pPr>
        <w:spacing w:after="160"/>
      </w:pPr>
      <w:r>
        <w:rPr>
          <w:b/>
          <w:bCs/>
          <w:color w:val="94741F"/>
          <w:sz w:val="18"/>
          <w:szCs w:val="18"/>
        </w:rPr>
        <w:t xml:space="preserve">Marco: Control de gestión · Presupuesto vs. real</w:t>
      </w:r>
    </w:p>
    <w:p>
      <w:pPr>
        <w:pStyle w:val="Heading2"/>
        <w:spacing w:after="100" w:before="220"/>
      </w:pPr>
      <w:r>
        <w:t xml:space="preserve">Estimar es fácil; controlar es lo que crea disciplina</w:t>
      </w:r>
    </w:p>
    <w:p>
      <w:pPr>
        <w:spacing w:after="140" w:line="276"/>
      </w:pPr>
      <w:r>
        <w:t xml:space="preserve">La gestión no termina cuando se hace el presupuesto: empieza ahí. </w:t>
      </w:r>
      <w:r>
        <w:rPr>
          <w:b/>
          <w:bCs/>
        </w:rPr>
        <w:t xml:space="preserve">Estimar</w:t>
      </w:r>
      <w:r>
        <w:t xml:space="preserve"> (proyectar ventas, costos, caja) es la mitad fácil; la otra mitad, la que de verdad construye una empresa profesional, es </w:t>
      </w:r>
      <w:r>
        <w:rPr>
          <w:b/>
          <w:bCs/>
        </w:rPr>
        <w:t xml:space="preserve">controlar</w:t>
      </w:r>
      <w:r>
        <w:t xml:space="preserve">: comparar lo </w:t>
      </w:r>
      <w:r>
        <w:rPr>
          <w:b/>
          <w:bCs/>
        </w:rPr>
        <w:t xml:space="preserve">estimado</w:t>
      </w:r>
      <w:r>
        <w:t xml:space="preserve"> con lo que </w:t>
      </w:r>
      <w:r>
        <w:rPr>
          <w:b/>
          <w:bCs/>
        </w:rPr>
        <w:t xml:space="preserve">realmente sucedió</w:t>
      </w:r>
      <w:r>
        <w:t xml:space="preserve">, medir el </w:t>
      </w:r>
      <w:r>
        <w:rPr>
          <w:b/>
          <w:bCs/>
        </w:rPr>
        <w:t xml:space="preserve">desvío</w:t>
      </w:r>
      <w:r>
        <w:t xml:space="preserve"> y entender por qué pasó. Sin control, el presupuesto es un deseo escrito en una planilla.</w:t>
      </w:r>
    </w:p>
    <w:p>
      <w:pPr>
        <w:spacing w:after="140" w:line="276"/>
      </w:pPr>
      <w:r>
        <w:t xml:space="preserve">El instrumento es el </w:t>
      </w:r>
      <w:r>
        <w:rPr>
          <w:b/>
          <w:bCs/>
        </w:rPr>
        <w:t xml:space="preserve">análisis de desvíos</w:t>
      </w:r>
      <w:r>
        <w:t xml:space="preserve"> (variance analysis): para cada línea, Desvío = Real − Presupuestado. Un desvío puede ser </w:t>
      </w:r>
      <w:r>
        <w:rPr>
          <w:b/>
          <w:bCs/>
        </w:rPr>
        <w:t xml:space="preserve">favorable</w:t>
      </w:r>
      <w:r>
        <w:t xml:space="preserve"> (vendí más, gasté menos) o </w:t>
      </w:r>
      <w:r>
        <w:rPr>
          <w:b/>
          <w:bCs/>
        </w:rPr>
        <w:t xml:space="preserve">desfavorable</w:t>
      </w:r>
      <w:r>
        <w:t xml:space="preserve"> (vendí menos, gasté más). Lo que importa no es solo el signo, sino la </w:t>
      </w:r>
      <w:r>
        <w:rPr>
          <w:b/>
          <w:bCs/>
        </w:rPr>
        <w:t xml:space="preserve">magnitud relativa</w:t>
      </w:r>
      <w:r>
        <w:t xml:space="preserve"> y, sobre todo, la </w:t>
      </w:r>
      <w:r>
        <w:rPr>
          <w:b/>
          <w:bCs/>
        </w:rPr>
        <w:t xml:space="preserve">causa</w:t>
      </w:r>
      <w:r>
        <w:t xml:space="preserve">: ¿fue precio, volumen, mix, eficiencia, o un supuesto que estaba mal de entrada?</w:t>
      </w:r>
    </w:p>
    <w:p>
      <w:pPr>
        <w:spacing w:after="140" w:line="276"/>
      </w:pPr>
      <w:r>
        <w:t xml:space="preserve">En </w:t>
      </w:r>
      <w:r>
        <w:rPr>
          <w:b/>
          <w:bCs/>
        </w:rPr>
        <w:t xml:space="preserve">Andina</w:t>
      </w:r>
      <w:r>
        <w:t xml:space="preserve">, el control es la herramienta que conecta toda la Semana con la acción. El presupuesto pudo haber estimado una rotación de inventario, un DSO de cobranza, un EBITDA. Comparar contra el real (inventario que creció 30% cuando las ventas crecieron 11%, cobranzas que se estiraron) </w:t>
      </w:r>
      <w:r>
        <w:rPr>
          <w:b/>
          <w:bCs/>
        </w:rPr>
        <w:t xml:space="preserve">cuantifica</w:t>
      </w:r>
      <w:r>
        <w:t xml:space="preserve"> dónde la realidad se desvió del plan y dispara las correcciones concretas.</w:t>
      </w:r>
    </w:p>
    <w:p>
      <w:pPr>
        <w:pStyle w:val="Heading2"/>
        <w:spacing w:after="100" w:before="220"/>
      </w:pPr>
      <w:r>
        <w:t xml:space="preserve">Anatomía de un desvío bien leído</w:t>
      </w:r>
    </w:p>
    <w:p>
      <w:pPr>
        <w:spacing w:after="140" w:line="276"/>
      </w:pPr>
      <w:r>
        <w:t xml:space="preserve">Un desvío mal leído lleva a decisiones erradas. Un sobrecumplimiento de ventas (favorable) puede esconder un problema si vino con </w:t>
      </w:r>
      <w:r>
        <w:rPr>
          <w:b/>
          <w:bCs/>
        </w:rPr>
        <w:t xml:space="preserve">descuentos agresivos</w:t>
      </w:r>
      <w:r>
        <w:t xml:space="preserve"> que hundieron el margen, o si esas ventas terminaron en la </w:t>
      </w:r>
      <w:r>
        <w:rPr>
          <w:b/>
          <w:bCs/>
        </w:rPr>
        <w:t xml:space="preserve">cartera incobrable</w:t>
      </w:r>
      <w:r>
        <w:t xml:space="preserve"> (los 290 de Andina). Un subcumplimiento de gastos (favorable) puede ser malo si fue </w:t>
      </w:r>
      <w:r>
        <w:rPr>
          <w:b/>
          <w:bCs/>
        </w:rPr>
        <w:t xml:space="preserve">postergar mantenimiento</w:t>
      </w:r>
      <w:r>
        <w:t xml:space="preserve"> o capacitación que se pagará caro después. El signo del desvío no alcanza: hay que entender la historia detrás.</w:t>
      </w:r>
    </w:p>
    <w:p>
      <w:pPr>
        <w:spacing w:after="140" w:line="276"/>
      </w:pPr>
      <w:r>
        <w:t xml:space="preserve">Por eso el control profesional descompone los desvíos por </w:t>
      </w:r>
      <w:r>
        <w:rPr>
          <w:b/>
          <w:bCs/>
        </w:rPr>
        <w:t xml:space="preserve">driver</w:t>
      </w:r>
      <w:r>
        <w:t xml:space="preserve">. Un desvío de ventas se abre en </w:t>
      </w:r>
      <w:r>
        <w:rPr>
          <w:b/>
          <w:bCs/>
        </w:rPr>
        <w:t xml:space="preserve">precio × volumen × mix</w:t>
      </w:r>
      <w:r>
        <w:t xml:space="preserve">. Un desvío de costo se abre en </w:t>
      </w:r>
      <w:r>
        <w:rPr>
          <w:b/>
          <w:bCs/>
        </w:rPr>
        <w:t xml:space="preserve">eficiencia × precio de insumos</w:t>
      </w:r>
      <w:r>
        <w:t xml:space="preserve">. Esta descomposición —prima hermana del DuPont y del árbol de generadores de valor— dice exactamente qué palanca falló y, por lo tanto, qué corregir. Atacar la causa, no el síntoma.</w:t>
      </w:r>
    </w:p>
    <w:p>
      <w:pPr>
        <w:spacing w:after="140" w:line="276"/>
      </w:pPr>
      <w:r>
        <w:t xml:space="preserve">El control también valida (o destruye) los </w:t>
      </w:r>
      <w:r>
        <w:rPr>
          <w:b/>
          <w:bCs/>
        </w:rPr>
        <w:t xml:space="preserve">supuestos</w:t>
      </w:r>
      <w:r>
        <w:t xml:space="preserve"> del modelo. Si el presupuesto asumió un riesgo país, una inflación o un tipo de cambio, comparar contra lo realmente sucedido recalibra esas estimaciones para el próximo ciclo. En mercados emergentes, donde los supuestos macro se mueven brutalmente, esta recalibración es lo que evita repetir el error: un EMBI o una inflación que se desvían 300 puntos básicos obligan a rehacer el plan.</w:t>
      </w:r>
    </w:p>
    <w:p>
      <w:pPr>
        <w:pStyle w:val="Heading2"/>
        <w:spacing w:after="100" w:before="220"/>
      </w:pPr>
      <w:r>
        <w:t xml:space="preserve">El círculo virtuoso: estimar, controlar, corregir</w:t>
      </w:r>
    </w:p>
    <w:p>
      <w:pPr>
        <w:spacing w:after="140" w:line="276"/>
      </w:pPr>
      <w:r>
        <w:t xml:space="preserve">El control cierra el </w:t>
      </w:r>
      <w:r>
        <w:rPr>
          <w:b/>
          <w:bCs/>
        </w:rPr>
        <w:t xml:space="preserve">círculo de gestión</w:t>
      </w:r>
      <w:r>
        <w:t xml:space="preserve">: estimar → ejecutar → controlar → corregir → estimar mejor. Cada vuelta del ciclo, la empresa estima con menos error porque aprendió de los desvíos anteriores. Una PyME que controla sistemáticamente convierte la incertidumbre de los mercados emergentes en aprendizaje acumulado; una que solo presupuesta y nunca compara repite los mismos errores año tras año.</w:t>
      </w:r>
    </w:p>
    <w:p>
      <w:pPr>
        <w:spacing w:after="140" w:line="276"/>
      </w:pPr>
      <w:r>
        <w:t xml:space="preserve">La </w:t>
      </w:r>
      <w:r>
        <w:rPr>
          <w:b/>
          <w:bCs/>
        </w:rPr>
        <w:t xml:space="preserve">interrelación</w:t>
      </w:r>
      <w:r>
        <w:t xml:space="preserve"> con todo el programa es el cierre natural de la Semana 2. El control es el mecanismo que convierte la </w:t>
      </w:r>
      <w:r>
        <w:rPr>
          <w:b/>
          <w:bCs/>
        </w:rPr>
        <w:t xml:space="preserve">información de gestión</w:t>
      </w:r>
      <w:r>
        <w:t xml:space="preserve"> (PN económico, EBITDA normalizado, CCE, GMROI) en </w:t>
      </w:r>
      <w:r>
        <w:rPr>
          <w:b/>
          <w:bCs/>
        </w:rPr>
        <w:t xml:space="preserve">decisión y corrección</w:t>
      </w:r>
      <w:r>
        <w:t xml:space="preserve">. De nada sirve calcular el valor económico si después no se controla si las acciones para mejorarlo se ejecutaron y funcionaron. La contabilidad de gestión sin control es diagnóstico sin tratamiento.</w:t>
      </w:r>
    </w:p>
    <w:p>
      <w:pPr>
        <w:spacing w:after="140" w:line="276"/>
      </w:pPr>
      <w:r>
        <w:t xml:space="preserve">El cierre conceptual del módulo: la </w:t>
      </w:r>
      <w:r>
        <w:rPr>
          <w:b/>
          <w:bCs/>
        </w:rPr>
        <w:t xml:space="preserve">contabilidad de presentación</w:t>
      </w:r>
      <w:r>
        <w:t xml:space="preserve"> mira hacia atrás y hacia afuera (rendir cuentas a terceros); la </w:t>
      </w:r>
      <w:r>
        <w:rPr>
          <w:b/>
          <w:bCs/>
        </w:rPr>
        <w:t xml:space="preserve">de gestión con control</w:t>
      </w:r>
      <w:r>
        <w:t xml:space="preserve"> mira hacia adelante y hacia adentro (decidir y corregir). Andina necesita las dos, pero es la segunda —medir lo estimado contra lo realmente sucedido y actuar sobre el desvío— la que separa a una empresa que </w:t>
      </w:r>
      <w:r>
        <w:rPr>
          <w:b/>
          <w:bCs/>
        </w:rPr>
        <w:t xml:space="preserve">administra</w:t>
      </w:r>
      <w:r>
        <w:t xml:space="preserve"> de una que solo </w:t>
      </w:r>
      <w:r>
        <w:rPr>
          <w:b/>
          <w:bCs/>
        </w:rPr>
        <w:t xml:space="preserve">registra</w:t>
      </w:r>
      <w:r>
        <w:t xml:space="preserve">. Eso es lo que el resto de la academia va a poner en práctica.</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Ventas presupuestadas</w:t>
            </w:r>
          </w:p>
        </w:tc>
        <w:tc>
          <w:p>
            <w:pPr>
              <w:jc w:val="right"/>
            </w:pPr>
            <w:r>
              <w:rPr>
                <w:sz w:val="18"/>
                <w:szCs w:val="18"/>
              </w:rPr>
              <w:t xml:space="preserve">8000</w:t>
            </w:r>
          </w:p>
        </w:tc>
      </w:tr>
      <w:tr>
        <w:tc>
          <w:p>
            <w:pPr>
              <w:jc w:val="left"/>
            </w:pPr>
            <w:r>
              <w:rPr>
                <w:sz w:val="18"/>
                <w:szCs w:val="18"/>
              </w:rPr>
              <w:t xml:space="preserve">Ventas reales</w:t>
            </w:r>
          </w:p>
        </w:tc>
        <w:tc>
          <w:p>
            <w:pPr>
              <w:jc w:val="right"/>
            </w:pPr>
            <w:r>
              <w:rPr>
                <w:sz w:val="18"/>
                <w:szCs w:val="18"/>
              </w:rPr>
              <w:t xml:space="preserve">8200</w:t>
            </w:r>
          </w:p>
        </w:tc>
      </w:tr>
      <w:tr>
        <w:tc>
          <w:p>
            <w:pPr>
              <w:jc w:val="left"/>
            </w:pPr>
            <w:r>
              <w:rPr>
                <w:sz w:val="18"/>
                <w:szCs w:val="18"/>
              </w:rPr>
              <w:t xml:space="preserve">EBITDA presupuestado</w:t>
            </w:r>
          </w:p>
        </w:tc>
        <w:tc>
          <w:p>
            <w:pPr>
              <w:jc w:val="right"/>
            </w:pPr>
            <w:r>
              <w:rPr>
                <w:sz w:val="18"/>
                <w:szCs w:val="18"/>
              </w:rPr>
              <w:t xml:space="preserve">1300</w:t>
            </w:r>
          </w:p>
        </w:tc>
      </w:tr>
      <w:tr>
        <w:tc>
          <w:p>
            <w:pPr>
              <w:jc w:val="left"/>
            </w:pPr>
            <w:r>
              <w:rPr>
                <w:sz w:val="18"/>
                <w:szCs w:val="18"/>
              </w:rPr>
              <w:t xml:space="preserve">EBITDA real</w:t>
            </w:r>
          </w:p>
        </w:tc>
        <w:tc>
          <w:p>
            <w:pPr>
              <w:jc w:val="right"/>
            </w:pPr>
            <w:r>
              <w:rPr>
                <w:sz w:val="18"/>
                <w:szCs w:val="18"/>
              </w:rPr>
              <w:t xml:space="preserve">1120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Desvío de ventas (real − ppto)</w:t>
            </w:r>
          </w:p>
        </w:tc>
        <w:tc>
          <w:p>
            <w:pPr>
              <w:jc w:val="right"/>
            </w:pPr>
            <w:r>
              <w:rPr>
                <w:sz w:val="18"/>
                <w:szCs w:val="18"/>
              </w:rPr>
              <w:t xml:space="preserve">ventasReal-ventasPpto</w:t>
            </w:r>
          </w:p>
        </w:tc>
      </w:tr>
      <w:tr>
        <w:tc>
          <w:p>
            <w:pPr>
              <w:jc w:val="left"/>
            </w:pPr>
            <w:r>
              <w:rPr>
                <w:sz w:val="18"/>
                <w:szCs w:val="18"/>
              </w:rPr>
              <w:t xml:space="preserve">Desvío de EBITDA (real − ppto)</w:t>
            </w:r>
          </w:p>
        </w:tc>
        <w:tc>
          <w:p>
            <w:pPr>
              <w:jc w:val="right"/>
            </w:pPr>
            <w:r>
              <w:rPr>
                <w:sz w:val="18"/>
                <w:szCs w:val="18"/>
              </w:rPr>
              <w:t xml:space="preserve">ebitdaReal-ebitdaPpto</w:t>
            </w:r>
          </w:p>
        </w:tc>
      </w:tr>
      <w:tr>
        <w:tc>
          <w:p>
            <w:pPr>
              <w:jc w:val="left"/>
            </w:pPr>
            <w:r>
              <w:rPr>
                <w:sz w:val="18"/>
                <w:szCs w:val="18"/>
              </w:rPr>
              <w:t xml:space="preserve">Desvío de EBITDA (%)</w:t>
            </w:r>
          </w:p>
        </w:tc>
        <w:tc>
          <w:p>
            <w:pPr>
              <w:jc w:val="right"/>
            </w:pPr>
            <w:r>
              <w:rPr>
                <w:sz w:val="18"/>
                <w:szCs w:val="18"/>
              </w:rPr>
              <w:t xml:space="preserve">(ebitdaReal-ebitdaPpto)/ebitdaPpto</w:t>
            </w:r>
          </w:p>
        </w:tc>
      </w:tr>
      <w:tr>
        <w:tc>
          <w:p>
            <w:pPr>
              <w:jc w:val="left"/>
            </w:pPr>
            <w:r>
              <w:rPr>
                <w:sz w:val="18"/>
                <w:szCs w:val="18"/>
              </w:rPr>
              <w:t xml:space="preserve">Margen EBITDA real</w:t>
            </w:r>
          </w:p>
        </w:tc>
        <w:tc>
          <w:p>
            <w:pPr>
              <w:jc w:val="right"/>
            </w:pPr>
            <w:r>
              <w:rPr>
                <w:sz w:val="18"/>
                <w:szCs w:val="18"/>
              </w:rPr>
              <w:t xml:space="preserve">ebitdaReal/ventasReal</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2026-06-24T11:50:52.129Z</dcterms:created>
  <dcterms:modified xsi:type="dcterms:W3CDTF">2026-06-24T11:50:52.129Z</dcterms:modified>
</cp:coreProperties>
</file>

<file path=docProps/custom.xml><?xml version="1.0" encoding="utf-8"?>
<Properties xmlns="http://schemas.openxmlformats.org/officeDocument/2006/custom-properties" xmlns:vt="http://schemas.openxmlformats.org/officeDocument/2006/docPropsVTypes"/>
</file>