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3</w:t>
      </w:r>
    </w:p>
    <w:p>
      <w:pPr>
        <w:pStyle w:val="Title"/>
        <w:spacing w:after="40"/>
      </w:pPr>
      <w:r>
        <w:t xml:space="preserve">Ítem 1. NOPAT: la ganancia del negocio sin la deuda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Cuánto gana Andina antes de decidir cómo se financió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McKinsey · Koller-Goedhart-Wessels</w:t>
      </w:r>
    </w:p>
    <w:p>
      <w:pPr>
        <w:pStyle w:val="Heading2"/>
        <w:spacing w:after="100" w:before="220"/>
      </w:pPr>
      <w:r>
        <w:t xml:space="preserve">Qué es el NOPAT y por qué no es la utilidad neta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NOPAT (Net Operating Profit After Taxes)</w:t>
      </w:r>
      <w:r>
        <w:t xml:space="preserve"> es la utilidad operativa después de impuestos, calculada </w:t>
      </w:r>
      <w:r>
        <w:rPr>
          <w:b/>
          <w:bCs/>
        </w:rPr>
        <w:t xml:space="preserve">como si la empresa no tuviera deuda</w:t>
      </w:r>
      <w:r>
        <w:t xml:space="preserve">. Mide la rentabilidad del negocio en sí mismo, despojada del efecto de cómo se lo financió. La fórmula es simple y poderosa: </w:t>
      </w:r>
      <w:r>
        <w:rPr>
          <w:b/>
          <w:bCs/>
        </w:rPr>
        <w:t xml:space="preserve">NOPAT = EBIT × (1 − t)</w:t>
      </w:r>
      <w:r>
        <w:t xml:space="preserve">.</w:t>
      </w:r>
    </w:p>
    <w:p>
      <w:pPr>
        <w:spacing w:after="140" w:line="276"/>
      </w:pPr>
      <w:r>
        <w:t xml:space="preserve">La diferencia con la utilidad neta es la clave de toda la semana. La utilidad neta de Andina en 2024 fue de apenas </w:t>
      </w:r>
      <w:r>
        <w:rPr>
          <w:b/>
          <w:bCs/>
        </w:rPr>
        <w:t xml:space="preserve">175</w:t>
      </w:r>
      <w:r>
        <w:t xml:space="preserve"> (sobre un EBIT de </w:t>
      </w:r>
      <w:r>
        <w:rPr>
          <w:b/>
          <w:bCs/>
        </w:rPr>
        <w:t xml:space="preserve">830</w:t>
      </w:r>
      <w:r>
        <w:t xml:space="preserve">), porque los intereses de la deuda cara —descubierto al 85%, préstamos— se comieron </w:t>
      </w:r>
      <w:r>
        <w:rPr>
          <w:b/>
          <w:bCs/>
        </w:rPr>
        <w:t xml:space="preserve">560</w:t>
      </w:r>
      <w:r>
        <w:t xml:space="preserve"> del resultado. El NOPAT ignora ese drenaje financiero a propósito: quiere saber cuánto gana </w:t>
      </w:r>
      <w:r>
        <w:rPr>
          <w:b/>
          <w:bCs/>
        </w:rPr>
        <w:t xml:space="preserve">la fábrica</w:t>
      </w:r>
      <w:r>
        <w:t xml:space="preserve">, no cuánto sobrevive después de pagarle al banco.</w:t>
      </w:r>
    </w:p>
    <w:p>
      <w:pPr>
        <w:spacing w:after="140" w:line="276"/>
      </w:pPr>
      <w:r>
        <w:t xml:space="preserve">Por eso el NOPAT es comparable entre empresas con estructuras de capital distintas. Dos fábricas idénticas, una sin deuda y otra apalancada hasta el cuello, tienen el </w:t>
      </w:r>
      <w:r>
        <w:rPr>
          <w:b/>
          <w:bCs/>
        </w:rPr>
        <w:t xml:space="preserve">mismo NOPAT</w:t>
      </w:r>
      <w:r>
        <w:t xml:space="preserve"> aunque su utilidad neta sea abismalmente diferente. El NOPAT mide el motor; la utilidad neta mezcla el motor con la mochila financiera.</w:t>
      </w:r>
    </w:p>
    <w:p>
      <w:pPr>
        <w:pStyle w:val="Heading2"/>
        <w:spacing w:after="100" w:before="220"/>
      </w:pPr>
      <w:r>
        <w:t xml:space="preserve">De dónde sale cada número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EBIT</w:t>
      </w:r>
      <w:r>
        <w:t xml:space="preserve"> (Resultado operativo) sale del Estado de Resultados: Ventas − costo de ventas − gastos de administración y comercialización − amortizaciones. </w:t>
      </w:r>
      <w:r>
        <w:rPr>
          <w:b/>
          <w:bCs/>
        </w:rPr>
        <w:t xml:space="preserve">No</w:t>
      </w:r>
      <w:r>
        <w:t xml:space="preserve"> se le restan los intereses (eso es financiamiento) ni los resultados financieros. En Andina, el EBIT 2024 es </w:t>
      </w:r>
      <w:r>
        <w:rPr>
          <w:b/>
          <w:bCs/>
        </w:rPr>
        <w:t xml:space="preserve">830</w:t>
      </w:r>
      <w:r>
        <w:t xml:space="preserve">.</w:t>
      </w:r>
    </w:p>
    <w:p>
      <w:pPr>
        <w:spacing w:after="140" w:line="276"/>
      </w:pPr>
      <w:r>
        <w:t xml:space="preserve">La </w:t>
      </w:r>
      <w:r>
        <w:rPr>
          <w:b/>
          <w:bCs/>
        </w:rPr>
        <w:t xml:space="preserve">t</w:t>
      </w:r>
      <w:r>
        <w:t xml:space="preserve"> es la tasa impositiva efectiva sobre las operaciones. En el caso, el impuesto a las ganancias societario tiene tope del </w:t>
      </w:r>
      <w:r>
        <w:rPr>
          <w:b/>
          <w:bCs/>
        </w:rPr>
        <w:t xml:space="preserve">35%</w:t>
      </w:r>
      <w:r>
        <w:t xml:space="preserve">. Conviene usar la tasa operativa, no la contable total, porque esta última está "contaminada" por el escudo fiscal de los intereses (que no corresponde a las operaciones). McKinsey lleva esto al extremo con el </w:t>
      </w:r>
      <w:r>
        <w:rPr>
          <w:b/>
          <w:bCs/>
        </w:rPr>
        <w:t xml:space="preserve">NOPLAT</w:t>
      </w:r>
      <w:r>
        <w:t xml:space="preserve">, que parte del EBITA y calcula impuestos operativos en efectivo.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NOPAT es el </w:t>
      </w:r>
      <w:r>
        <w:rPr>
          <w:b/>
          <w:bCs/>
        </w:rPr>
        <w:t xml:space="preserve">numerador del ROIC</w:t>
      </w:r>
      <w:r>
        <w:t xml:space="preserve"> (ítem 3) y el punto de partida del </w:t>
      </w:r>
      <w:r>
        <w:rPr>
          <w:b/>
          <w:bCs/>
        </w:rPr>
        <w:t xml:space="preserve">EVA</w:t>
      </w:r>
      <w:r>
        <w:t xml:space="preserve"> (Semana 4). Todo el árbol de generadores de valor nace acá: para crear valor hay que subir el NOPAT, bajar el capital invertido o bajar el WACC. El NOPAT abre la primera de esas tres palancas.</w:t>
      </w:r>
    </w:p>
    <w:p>
      <w:pPr>
        <w:pStyle w:val="Heading2"/>
        <w:spacing w:after="100" w:before="220"/>
      </w:pPr>
      <w:r>
        <w:t xml:space="preserve">Debilidades y errores frecuentes</w:t>
      </w:r>
    </w:p>
    <w:p>
      <w:pPr>
        <w:spacing w:after="140" w:line="276"/>
      </w:pPr>
      <w:r>
        <w:t xml:space="preserve">El NOPAT solo </w:t>
      </w:r>
      <w:r>
        <w:rPr>
          <w:b/>
          <w:bCs/>
        </w:rPr>
        <w:t xml:space="preserve">no basta</w:t>
      </w:r>
      <w:r>
        <w:t xml:space="preserve">: no considera las inversiones (capex, capital de trabajo) que el negocio necesita para sostenerse; por eso necesita al ROIC, que lo divide por el capital. Es muy sensible a la tasa elegida y, en alta inflación, el EBIT contable mezcla resultados reales con nominales.</w:t>
      </w:r>
    </w:p>
    <w:p>
      <w:pPr>
        <w:spacing w:after="140" w:line="276"/>
      </w:pPr>
      <w:r>
        <w:t xml:space="preserve">El error típico del CEO es mirar la utilidad neta y creer que ese es el rendimiento del negocio. En Andina pasa al revés: un negocio que </w:t>
      </w:r>
      <w:r>
        <w:rPr>
          <w:b/>
          <w:bCs/>
        </w:rPr>
        <w:t xml:space="preserve">opera bien</w:t>
      </w:r>
      <w:r>
        <w:t xml:space="preserve"> (NOPAT sólido) luce pobre en la última línea por culpa del financiamiento. Separar ambos mundos es el primer paso para diagnosticar dónde está el problema.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EBIT (Resultado operativo)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 (t)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de la deuda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NOPAT = EBIT × (1 − t)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ebit*(1-tax)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Utilidad neta (con intereses)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(ebit-interes)*(1-tax)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Brecha NOPAT − utilidad neta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nopat-utilNeta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2026-06-24T11:50:52.150Z</dcterms:created>
  <dcterms:modified xsi:type="dcterms:W3CDTF">2026-06-24T11:50:52.150Z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