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3</w:t>
      </w:r>
    </w:p>
    <w:p>
      <w:pPr>
        <w:pStyle w:val="Title"/>
        <w:spacing w:after="40"/>
      </w:pPr>
      <w:r>
        <w:t xml:space="preserve">Ítem 2. El capital invertido: en qué se puso la plata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Capital de trabajo operativo + activo fijo, el denominador que casi nadie mide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McKinsey · enfoque operativo del capital</w:t>
      </w:r>
    </w:p>
    <w:p>
      <w:pPr>
        <w:pStyle w:val="Heading2"/>
        <w:spacing w:after="100" w:before="220"/>
      </w:pPr>
      <w:r>
        <w:t xml:space="preserve">Dos formas de medir el mismo capital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Capital Invertido</w:t>
      </w:r>
      <w:r>
        <w:t xml:space="preserve"> es la plata que la empresa tiene efectivamente puesta a trabajar en las operaciones. Se puede calcular de dos maneras equivalentes. El </w:t>
      </w:r>
      <w:r>
        <w:rPr>
          <w:b/>
          <w:bCs/>
        </w:rPr>
        <w:t xml:space="preserve">enfoque de financiamiento</w:t>
      </w:r>
      <w:r>
        <w:t xml:space="preserve"> mira el pasivo: Deuda financiera + Patrimonio − caja excedente; responde "cómo se financió". El </w:t>
      </w:r>
      <w:r>
        <w:rPr>
          <w:b/>
          <w:bCs/>
        </w:rPr>
        <w:t xml:space="preserve">enfoque operativo</w:t>
      </w:r>
      <w:r>
        <w:t xml:space="preserve"> mira el activo: </w:t>
      </w:r>
      <w:r>
        <w:rPr>
          <w:b/>
          <w:bCs/>
        </w:rPr>
        <w:t xml:space="preserve">Capital de trabajo operativo + Activo fijo neto</w:t>
      </w:r>
      <w:r>
        <w:t xml:space="preserve">; responde "en qué se invirtió". Usamos el operativo, porque conecta con el ciclo de caja y las palancas de gestión.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capital de trabajo operativo</w:t>
      </w:r>
      <w:r>
        <w:t xml:space="preserve"> es </w:t>
      </w:r>
      <w:r>
        <w:rPr>
          <w:b/>
          <w:bCs/>
        </w:rPr>
        <w:t xml:space="preserve">Cuentas por cobrar + Inventarios − Cuentas por pagar (proveedores)</w:t>
      </w:r>
      <w:r>
        <w:t xml:space="preserve">. Es la caja atrapada en el ciclo: lo que financiás a tus clientes (cobranzas) más lo inmovilizado en stock (inventario), menos lo que te financian gratis tus proveedores. En Andina 2024: 1850 de créditos + 2400 de inventarios − 1280 de proveedores = </w:t>
      </w:r>
      <w:r>
        <w:rPr>
          <w:b/>
          <w:bCs/>
        </w:rPr>
        <w:t xml:space="preserve">2970</w:t>
      </w:r>
      <w:r>
        <w:t xml:space="preserve"> de capital de trabajo.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activo fijo neto</w:t>
      </w:r>
      <w:r>
        <w:t xml:space="preserve"> (bienes de uso: terreno, edificio, maquinaria, rodados) suma alrededor de </w:t>
      </w:r>
      <w:r>
        <w:rPr>
          <w:b/>
          <w:bCs/>
        </w:rPr>
        <w:t xml:space="preserve">2560</w:t>
      </w:r>
      <w:r>
        <w:t xml:space="preserve"> a valor contable. Sumando ambos bloques, el capital invertido operativo de Andina ronda los </w:t>
      </w:r>
      <w:r>
        <w:rPr>
          <w:b/>
          <w:bCs/>
        </w:rPr>
        <w:t xml:space="preserve">5530</w:t>
      </w:r>
      <w:r>
        <w:t xml:space="preserve">. Ese es el denominador que el ROIC va a exigir que rinda.</w:t>
      </w:r>
    </w:p>
    <w:p>
      <w:pPr>
        <w:pStyle w:val="Heading2"/>
        <w:spacing w:after="100" w:before="220"/>
      </w:pPr>
      <w:r>
        <w:t xml:space="preserve">Por qué el denominador es la palanca olvidada</w:t>
      </w:r>
    </w:p>
    <w:p>
      <w:pPr>
        <w:spacing w:after="140" w:line="276"/>
      </w:pPr>
      <w:r>
        <w:t xml:space="preserve">La mayoría de los dueños mira solo el numerador (la ganancia) y se olvida del capital que la genera. Es un error caro. En mercados emergentes, donde el crédito es escaso y carísimo, </w:t>
      </w:r>
      <w:r>
        <w:rPr>
          <w:b/>
          <w:bCs/>
        </w:rPr>
        <w:t xml:space="preserve">bajar el capital invertido</w:t>
      </w:r>
      <w:r>
        <w:t xml:space="preserve"> —cobrando más rápido, achicando stock, estirando proveedores— es la palanca de mayor retorno: libera caja sin pedir un peso al banco.</w:t>
      </w:r>
    </w:p>
    <w:p>
      <w:pPr>
        <w:spacing w:after="140" w:line="276"/>
      </w:pPr>
      <w:r>
        <w:t xml:space="preserve">En Andina el problema vive justo acá: el inventario crece más rápido que las ventas (hay </w:t>
      </w:r>
      <w:r>
        <w:rPr>
          <w:b/>
          <w:bCs/>
        </w:rPr>
        <w:t xml:space="preserve">420</w:t>
      </w:r>
      <w:r>
        <w:t xml:space="preserve"> de mercadería obsoleta) y las cuentas por cobrar se estiran (con </w:t>
      </w:r>
      <w:r>
        <w:rPr>
          <w:b/>
          <w:bCs/>
        </w:rPr>
        <w:t xml:space="preserve">290</w:t>
      </w:r>
      <w:r>
        <w:t xml:space="preserve"> de mora mayor a 120 días). Cada peso inmovilizado de más infla el capital invertido y, con el mismo NOPAT, hunde el ROIC.</w:t>
      </w:r>
    </w:p>
    <w:p>
      <w:pPr>
        <w:pStyle w:val="Heading2"/>
        <w:spacing w:after="100" w:before="220"/>
      </w:pPr>
      <w:r>
        <w:t xml:space="preserve">Interrelaciones y cuidados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capital invertido es el </w:t>
      </w:r>
      <w:r>
        <w:rPr>
          <w:b/>
          <w:bCs/>
        </w:rPr>
        <w:t xml:space="preserve">denominador del ROIC</w:t>
      </w:r>
      <w:r>
        <w:t xml:space="preserve"> (ítem 3) y la </w:t>
      </w:r>
      <w:r>
        <w:rPr>
          <w:b/>
          <w:bCs/>
        </w:rPr>
        <w:t xml:space="preserve">escala del EVA</w:t>
      </w:r>
      <w:r>
        <w:t xml:space="preserve"> (Semana 4). Se nutre del Ciclo de Conversión de Efectivo: CCE más largo → más capital de trabajo → más capital invertido → menos ROIC. Acortar el ciclo es creación de valor directa.</w:t>
      </w:r>
    </w:p>
    <w:p>
      <w:pPr>
        <w:spacing w:after="140" w:line="276"/>
      </w:pPr>
      <w:r>
        <w:rPr>
          <w:b/>
          <w:bCs/>
        </w:rPr>
        <w:t xml:space="preserve">Cuidado contable:</w:t>
      </w:r>
      <w:r>
        <w:t xml:space="preserve"> a costo histórico, los activos viejos quedan subvaluados y achican el denominador, lo que </w:t>
      </w:r>
      <w:r>
        <w:rPr>
          <w:b/>
          <w:bCs/>
        </w:rPr>
        <w:t xml:space="preserve">infla artificialmente</w:t>
      </w:r>
      <w:r>
        <w:t xml:space="preserve"> el ROIC. En Andina, el terreno vale en libros 350 pero a mercado 900 (activo oculto). Para decisiones serias conviene reexpresar a valor corriente, sobre todo en economías inflacionarias.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Cuentas por cobrar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Inventarios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Proveedores (no oneroso)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1280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Activo fijo neto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2560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de trabajo operativo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cxc+inv-prov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invertido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wcOper+afijo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2026-06-24T11:50:52.165Z</dcterms:created>
  <dcterms:modified xsi:type="dcterms:W3CDTF">2026-06-24T11:50:52.165Z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