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D4AF37"/>
          <w:sz w:val="18"/>
          <w:szCs w:val="18"/>
        </w:rPr>
        <w:t xml:space="preserve">ACADEMIA FC + IA · Semana 3</w:t>
      </w:r>
    </w:p>
    <w:p>
      <w:pPr>
        <w:pStyle w:val="Title"/>
        <w:spacing w:after="40"/>
      </w:pPr>
      <w:r>
        <w:t xml:space="preserve">Ítem 5. Por qué el margen solo engaña</w:t>
      </w:r>
    </w:p>
    <w:p>
      <w:pPr>
        <w:spacing w:after="40"/>
      </w:pPr>
      <w:r>
        <w:rPr>
          <w:i/>
          <w:iCs/>
          <w:color w:val="555555"/>
          <w:sz w:val="22"/>
          <w:szCs w:val="22"/>
        </w:rPr>
        <w:t xml:space="preserve">Cómo margen × rotación × apalancamiento arman (o destruyen) el ROE</w:t>
      </w:r>
    </w:p>
    <w:p>
      <w:pPr>
        <w:spacing w:after="160"/>
      </w:pPr>
      <w:r>
        <w:rPr>
          <w:b/>
          <w:bCs/>
          <w:color w:val="94741F"/>
          <w:sz w:val="18"/>
          <w:szCs w:val="18"/>
        </w:rPr>
        <w:t xml:space="preserve">Marco: value-driver-interrelations · árbol de generadores</w:t>
      </w:r>
    </w:p>
    <w:p>
      <w:pPr>
        <w:pStyle w:val="Heading2"/>
        <w:spacing w:after="100" w:before="220"/>
      </w:pPr>
      <w:r>
        <w:t xml:space="preserve">El margen es solo una de las tres palancas</w:t>
      </w:r>
    </w:p>
    <w:p>
      <w:pPr>
        <w:spacing w:after="140" w:line="276"/>
      </w:pPr>
      <w:r>
        <w:t xml:space="preserve">El dueño de Andina mira el </w:t>
      </w:r>
      <w:r>
        <w:rPr>
          <w:b/>
          <w:bCs/>
        </w:rPr>
        <w:t xml:space="preserve">margen</w:t>
      </w:r>
      <w:r>
        <w:t xml:space="preserve"> y está conforme. Pero el margen es apenas </w:t>
      </w:r>
      <w:r>
        <w:rPr>
          <w:b/>
          <w:bCs/>
        </w:rPr>
        <w:t xml:space="preserve">una</w:t>
      </w:r>
      <w:r>
        <w:t xml:space="preserve"> de las tres grandes palancas que arman la rentabilidad. El ROE se puede leer, simplificando el DuPont, como </w:t>
      </w:r>
      <w:r>
        <w:rPr>
          <w:b/>
          <w:bCs/>
        </w:rPr>
        <w:t xml:space="preserve">margen × rotación × apalancamiento</w:t>
      </w:r>
      <w:r>
        <w:t xml:space="preserve">: se gana plata por vender con buen margen, </w:t>
      </w:r>
      <w:r>
        <w:rPr>
          <w:b/>
          <w:bCs/>
        </w:rPr>
        <w:t xml:space="preserve">o</w:t>
      </w:r>
      <w:r>
        <w:t xml:space="preserve"> por rotar mucho el capital, </w:t>
      </w:r>
      <w:r>
        <w:rPr>
          <w:b/>
          <w:bCs/>
        </w:rPr>
        <w:t xml:space="preserve">o</w:t>
      </w:r>
      <w:r>
        <w:t xml:space="preserve"> por amplificar con deuda. Mirar solo el margen es mirar un tercio de la película.</w:t>
      </w:r>
    </w:p>
    <w:p>
      <w:pPr>
        <w:spacing w:after="140" w:line="276"/>
      </w:pPr>
      <w:r>
        <w:t xml:space="preserve">Dos empresas con el </w:t>
      </w:r>
      <w:r>
        <w:rPr>
          <w:b/>
          <w:bCs/>
        </w:rPr>
        <w:t xml:space="preserve">mismo margen</w:t>
      </w:r>
      <w:r>
        <w:t xml:space="preserve"> pueden tener rentabilidades opuestas. Una que rota su capital dos veces al año genera el doble de ventas —y de ganancia— por cada peso invertido que otra que rota una sola vez, aunque el margen por venta sea idéntico. El margen dice cuánto ganás </w:t>
      </w:r>
      <w:r>
        <w:rPr>
          <w:b/>
          <w:bCs/>
        </w:rPr>
        <w:t xml:space="preserve">por venta</w:t>
      </w:r>
      <w:r>
        <w:t xml:space="preserve">; la rotación, cuántas veces das vuelta el capital. El ROE necesita las dos.</w:t>
      </w:r>
    </w:p>
    <w:p>
      <w:pPr>
        <w:spacing w:after="140" w:line="276"/>
      </w:pPr>
      <w:r>
        <w:t xml:space="preserve">Y está la tercera palanca, la traicionera: el </w:t>
      </w:r>
      <w:r>
        <w:rPr>
          <w:b/>
          <w:bCs/>
        </w:rPr>
        <w:t xml:space="preserve">apalancamiento</w:t>
      </w:r>
      <w:r>
        <w:t xml:space="preserve">. Subir deuda </w:t>
      </w:r>
      <w:r>
        <w:rPr>
          <w:b/>
          <w:bCs/>
        </w:rPr>
        <w:t xml:space="preserve">amplifica</w:t>
      </w:r>
      <w:r>
        <w:t xml:space="preserve"> el ROE… mientras las cosas van bien. Un ROE alto sostenido por un multiplicador financiero grande no es rentabilidad: es </w:t>
      </w:r>
      <w:r>
        <w:rPr>
          <w:b/>
          <w:bCs/>
        </w:rPr>
        <w:t xml:space="preserve">riesgo disfrazado de rentabilidad</w:t>
      </w:r>
      <w:r>
        <w:t xml:space="preserve">. En la primera caída de ventas, ese mismo apalancamiento amplifica las pérdidas.</w:t>
      </w:r>
    </w:p>
    <w:p>
      <w:pPr>
        <w:pStyle w:val="Heading2"/>
        <w:spacing w:after="100" w:before="220"/>
      </w:pPr>
      <w:r>
        <w:t xml:space="preserve">El diagnóstico cruzado: SI, DÓNDE y de qué CALIDAD</w:t>
      </w:r>
    </w:p>
    <w:p>
      <w:pPr>
        <w:spacing w:after="140" w:line="276"/>
      </w:pPr>
      <w:r>
        <w:t xml:space="preserve">Acá está la inteligencia del marco: los indicadores </w:t>
      </w:r>
      <w:r>
        <w:rPr>
          <w:b/>
          <w:bCs/>
        </w:rPr>
        <w:t xml:space="preserve">no se leen sueltos, se cruzan</w:t>
      </w:r>
      <w:r>
        <w:t xml:space="preserve">. El </w:t>
      </w:r>
      <w:r>
        <w:rPr>
          <w:b/>
          <w:bCs/>
        </w:rPr>
        <w:t xml:space="preserve">spread ROIC − WACC</w:t>
      </w:r>
      <w:r>
        <w:t xml:space="preserve"> dice </w:t>
      </w:r>
      <w:r>
        <w:rPr>
          <w:b/>
          <w:bCs/>
        </w:rPr>
        <w:t xml:space="preserve">SI</w:t>
      </w:r>
      <w:r>
        <w:t xml:space="preserve"> se crea o destruye valor. El </w:t>
      </w:r>
      <w:r>
        <w:rPr>
          <w:b/>
          <w:bCs/>
        </w:rPr>
        <w:t xml:space="preserve">DuPont</w:t>
      </w:r>
      <w:r>
        <w:t xml:space="preserve"> dice </w:t>
      </w:r>
      <w:r>
        <w:rPr>
          <w:b/>
          <w:bCs/>
        </w:rPr>
        <w:t xml:space="preserve">DÓNDE</w:t>
      </w:r>
      <w:r>
        <w:t xml:space="preserve"> está la palanca: margen (pricing/costos), rotación (eficiencia del capital, ciclo de caja) o estructura (apalancamiento). Y la composición dice de qué </w:t>
      </w:r>
      <w:r>
        <w:rPr>
          <w:b/>
          <w:bCs/>
        </w:rPr>
        <w:t xml:space="preserve">CALIDAD</w:t>
      </w:r>
      <w:r>
        <w:t xml:space="preserve"> es el ROE: operativo y sólido, o financiero y frágil.</w:t>
      </w:r>
    </w:p>
    <w:p>
      <w:pPr>
        <w:spacing w:after="140" w:line="276"/>
      </w:pPr>
      <w:r>
        <w:t xml:space="preserve">En Andina el cruce es revelador. El margen operativo es </w:t>
      </w:r>
      <w:r>
        <w:rPr>
          <w:b/>
          <w:bCs/>
        </w:rPr>
        <w:t xml:space="preserve">decente</w:t>
      </w:r>
      <w:r>
        <w:t xml:space="preserve"> (~10%), pero la rotación está trabada por inventario obsoleto y cobranzas morosas, y el apalancamiento es alto y caro. El margen </w:t>
      </w:r>
      <w:r>
        <w:rPr>
          <w:b/>
          <w:bCs/>
        </w:rPr>
        <w:t xml:space="preserve">solo</w:t>
      </w:r>
      <w:r>
        <w:t xml:space="preserve"> te haría creer que el negocio va bien; el cruce completo muestra que el valor se destruye por el lado del capital y del financiamiento, no del margen.</w:t>
      </w:r>
    </w:p>
    <w:p>
      <w:pPr>
        <w:pStyle w:val="Heading2"/>
        <w:spacing w:after="100" w:before="220"/>
      </w:pPr>
      <w:r>
        <w:t xml:space="preserve">La cadena causal y la decisión</w:t>
      </w:r>
    </w:p>
    <w:p>
      <w:pPr>
        <w:spacing w:after="140" w:line="276"/>
      </w:pPr>
      <w:r>
        <w:t xml:space="preserve">La interrelación se encadena en segundo y tercer orden: mejorar la matriz de cobranzas → baja los días de cobro → reduce el capital de trabajo → baja el capital invertido → </w:t>
      </w:r>
      <w:r>
        <w:rPr>
          <w:b/>
          <w:bCs/>
        </w:rPr>
        <w:t xml:space="preserve">sube el ROIC</w:t>
      </w:r>
      <w:r>
        <w:t xml:space="preserve"> sin tocar el margen → amplía el spread → más EVA → más valor. La palanca más accionable en emergentes casi nunca es el margen: es el </w:t>
      </w:r>
      <w:r>
        <w:rPr>
          <w:b/>
          <w:bCs/>
        </w:rPr>
        <w:t xml:space="preserve">denominador</w:t>
      </w:r>
      <w:r>
        <w:t xml:space="preserve">.</w:t>
      </w:r>
    </w:p>
    <w:p>
      <w:pPr>
        <w:spacing w:after="140" w:line="276"/>
      </w:pPr>
      <w:r>
        <w:rPr>
          <w:b/>
          <w:bCs/>
        </w:rPr>
        <w:t xml:space="preserve">Lectura clave:</w:t>
      </w:r>
      <w:r>
        <w:t xml:space="preserve"> el eje de riesgo (apalancamiento) se lee </w:t>
      </w:r>
      <w:r>
        <w:rPr>
          <w:b/>
          <w:bCs/>
        </w:rPr>
        <w:t xml:space="preserve">en paralelo</w:t>
      </w:r>
      <w:r>
        <w:t xml:space="preserve"> al eje de valor, nunca confundido con él. Una empresa puede tener un ROE alto por deuda (no quiebra, parece rentable) y a la vez </w:t>
      </w:r>
      <w:r>
        <w:rPr>
          <w:b/>
          <w:bCs/>
        </w:rPr>
        <w:t xml:space="preserve">destruir valor</w:t>
      </w:r>
      <w:r>
        <w:t xml:space="preserve"> (ROIC &lt; WACC). Por eso el margen solo engaña: cuenta una parte de la historia y esconde justamente la parte donde se decide el valor.</w:t>
      </w:r>
    </w:p>
    <w:p>
      <w:pPr>
        <w:pStyle w:val="Heading2"/>
        <w:spacing w:after="100" w:before="220"/>
      </w:pPr>
      <w:r>
        <w:t xml:space="preserve">El modelo: variables y fórmulas</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tblGrid>
      <w:tr>
        <w:trPr>
          <w:tblHeader/>
        </w:trPr>
        <w:tc>
          <w:tcPr>
            <w:shd w:fill="0B1120" w:color="0B1120" w:val="solid"/>
          </w:tcPr>
          <w:p>
            <w:r>
              <w:rPr>
                <w:b/>
                <w:bCs/>
                <w:color w:val="FFFFFF"/>
                <w:sz w:val="18"/>
                <w:szCs w:val="18"/>
              </w:rPr>
              <w:t xml:space="preserve">Variable de entrada</w:t>
            </w:r>
          </w:p>
        </w:tc>
        <w:tc>
          <w:tcPr>
            <w:shd w:fill="0B1120" w:color="0B1120" w:val="solid"/>
          </w:tcPr>
          <w:p>
            <w:r>
              <w:rPr>
                <w:b/>
                <w:bCs/>
                <w:color w:val="FFFFFF"/>
                <w:sz w:val="18"/>
                <w:szCs w:val="18"/>
              </w:rPr>
              <w:t xml:space="preserve">Valor base</w:t>
            </w:r>
          </w:p>
        </w:tc>
      </w:tr>
      <w:tr>
        <w:tc>
          <w:p>
            <w:pPr>
              <w:jc w:val="left"/>
            </w:pPr>
            <w:r>
              <w:rPr>
                <w:sz w:val="18"/>
                <w:szCs w:val="18"/>
              </w:rPr>
              <w:t xml:space="preserve">Margen neto (UN/Ventas)</w:t>
            </w:r>
          </w:p>
        </w:tc>
        <w:tc>
          <w:p>
            <w:pPr>
              <w:jc w:val="right"/>
            </w:pPr>
            <w:r>
              <w:rPr>
                <w:sz w:val="18"/>
                <w:szCs w:val="18"/>
              </w:rPr>
              <w:t xml:space="preserve">0.0213</w:t>
            </w:r>
          </w:p>
        </w:tc>
      </w:tr>
      <w:tr>
        <w:tc>
          <w:p>
            <w:pPr>
              <w:jc w:val="left"/>
            </w:pPr>
            <w:r>
              <w:rPr>
                <w:sz w:val="18"/>
                <w:szCs w:val="18"/>
              </w:rPr>
              <w:t xml:space="preserve">Rotación de activos (Ventas/Activos)</w:t>
            </w:r>
          </w:p>
        </w:tc>
        <w:tc>
          <w:p>
            <w:pPr>
              <w:jc w:val="right"/>
            </w:pPr>
            <w:r>
              <w:rPr>
                <w:sz w:val="18"/>
                <w:szCs w:val="18"/>
              </w:rPr>
              <w:t xml:space="preserve">1.11</w:t>
            </w:r>
          </w:p>
        </w:tc>
      </w:tr>
      <w:tr>
        <w:tc>
          <w:p>
            <w:pPr>
              <w:jc w:val="left"/>
            </w:pPr>
            <w:r>
              <w:rPr>
                <w:sz w:val="18"/>
                <w:szCs w:val="18"/>
              </w:rPr>
              <w:t xml:space="preserve">Apalancamiento (Activos/PN)</w:t>
            </w:r>
          </w:p>
        </w:tc>
        <w:tc>
          <w:p>
            <w:pPr>
              <w:jc w:val="right"/>
            </w:pPr>
            <w:r>
              <w:rPr>
                <w:sz w:val="18"/>
                <w:szCs w:val="18"/>
              </w:rPr>
              <w:t xml:space="preserve">2.66</w:t>
            </w:r>
          </w:p>
        </w:tc>
      </w:tr>
    </w:tbl>
    <w:p>
      <w:pPr>
        <w:spacing w:after="100"/>
      </w:pP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tblGrid>
      <w:tr>
        <w:trPr>
          <w:tblHeader/>
        </w:trPr>
        <w:tc>
          <w:tcPr>
            <w:shd w:fill="0B1120" w:color="0B1120" w:val="solid"/>
          </w:tcPr>
          <w:p>
            <w:r>
              <w:rPr>
                <w:b/>
                <w:bCs/>
                <w:color w:val="FFFFFF"/>
                <w:sz w:val="18"/>
                <w:szCs w:val="18"/>
              </w:rPr>
              <w:t xml:space="preserve">Indicador calculado</w:t>
            </w:r>
          </w:p>
        </w:tc>
        <w:tc>
          <w:tcPr>
            <w:shd w:fill="0B1120" w:color="0B1120" w:val="solid"/>
          </w:tcPr>
          <w:p>
            <w:r>
              <w:rPr>
                <w:b/>
                <w:bCs/>
                <w:color w:val="FFFFFF"/>
                <w:sz w:val="18"/>
                <w:szCs w:val="18"/>
              </w:rPr>
              <w:t xml:space="preserve">Fórmula</w:t>
            </w:r>
          </w:p>
        </w:tc>
      </w:tr>
      <w:tr>
        <w:tc>
          <w:p>
            <w:pPr>
              <w:jc w:val="left"/>
            </w:pPr>
            <w:r>
              <w:rPr>
                <w:sz w:val="18"/>
                <w:szCs w:val="18"/>
              </w:rPr>
              <w:t xml:space="preserve">ROA (margen × rotación)</w:t>
            </w:r>
          </w:p>
        </w:tc>
        <w:tc>
          <w:p>
            <w:pPr>
              <w:jc w:val="right"/>
            </w:pPr>
            <w:r>
              <w:rPr>
                <w:sz w:val="18"/>
                <w:szCs w:val="18"/>
              </w:rPr>
              <w:t xml:space="preserve">margen*rotacion</w:t>
            </w:r>
          </w:p>
        </w:tc>
      </w:tr>
      <w:tr>
        <w:tc>
          <w:p>
            <w:pPr>
              <w:jc w:val="left"/>
            </w:pPr>
            <w:r>
              <w:rPr>
                <w:sz w:val="18"/>
                <w:szCs w:val="18"/>
              </w:rPr>
              <w:t xml:space="preserve">ROE (margen × rotación × apal.)</w:t>
            </w:r>
          </w:p>
        </w:tc>
        <w:tc>
          <w:p>
            <w:pPr>
              <w:jc w:val="right"/>
            </w:pPr>
            <w:r>
              <w:rPr>
                <w:sz w:val="18"/>
                <w:szCs w:val="18"/>
              </w:rPr>
              <w:t xml:space="preserve">margen</w:t>
            </w:r>
            <w:r>
              <w:rPr>
                <w:i/>
                <w:iCs/>
                <w:sz w:val="18"/>
                <w:szCs w:val="18"/>
              </w:rPr>
              <w:t xml:space="preserve">rotacion</w:t>
            </w:r>
            <w:r>
              <w:rPr>
                <w:sz w:val="18"/>
                <w:szCs w:val="18"/>
              </w:rPr>
              <w:t xml:space="preserve">apal</w:t>
            </w:r>
          </w:p>
        </w:tc>
      </w:tr>
      <w:tr>
        <w:tc>
          <w:p>
            <w:pPr>
              <w:jc w:val="left"/>
            </w:pPr>
            <w:r>
              <w:rPr>
                <w:sz w:val="18"/>
                <w:szCs w:val="18"/>
              </w:rPr>
              <w:t xml:space="preserve">Plus del apalancamiento (ROE − ROA)</w:t>
            </w:r>
          </w:p>
        </w:tc>
        <w:tc>
          <w:p>
            <w:pPr>
              <w:jc w:val="right"/>
            </w:pPr>
            <w:r>
              <w:rPr>
                <w:sz w:val="18"/>
                <w:szCs w:val="18"/>
              </w:rPr>
              <w:t xml:space="preserve">roe-roa</w:t>
            </w:r>
          </w:p>
        </w:tc>
      </w:tr>
    </w:tbl>
    <w:p>
      <w:pPr>
        <w:spacing w:before="160"/>
      </w:pPr>
      <w:r>
        <w:t xml:space="preserve">Abrí el </w:t>
      </w:r>
      <w:r>
        <w:rPr>
          <w:b/>
          <w:bCs/>
        </w:rPr>
        <w:t xml:space="preserve">modelo interactivo</w:t>
      </w:r>
      <w:r>
        <w:t xml:space="preserve"> de este ítem en la plataforma para mover las variables en vivo, y usá el Excel para construir tu propio caso con matrices dinámicas.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rPr>
      <w:b/>
      <w:bCs/>
      <w:color w:val="0B1120"/>
      <w:sz w:val="36"/>
      <w:szCs w:val="36"/>
    </w:rPr>
  </w:style>
  <w:style w:type="paragraph" w:styleId="Heading2">
    <w:name w:val="Heading 2"/>
    <w:pPr>
      <w:spacing w:after="100" w:before="200"/>
    </w:pPr>
    <w:rPr>
      <w:b/>
      <w:bCs/>
      <w:color w:val="94741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2026-06-24T11:50:52.226Z</dcterms:created>
  <dcterms:modified xsi:type="dcterms:W3CDTF">2026-06-24T11:50:52.226Z</dcterms:modified>
</cp:coreProperties>
</file>

<file path=docProps/custom.xml><?xml version="1.0" encoding="utf-8"?>
<Properties xmlns="http://schemas.openxmlformats.org/officeDocument/2006/custom-properties" xmlns:vt="http://schemas.openxmlformats.org/officeDocument/2006/docPropsVTypes"/>
</file>