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4</w:t>
      </w:r>
    </w:p>
    <w:p>
      <w:pPr>
        <w:pStyle w:val="Title"/>
        <w:spacing w:after="40"/>
      </w:pPr>
      <w:r>
        <w:t xml:space="preserve">Ítem 5. Crecer o distribuir: la política de dividendos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La decisión de dividendos es el residuo de la decisión de inversión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RONIC · política de dividendos óptima</w:t>
      </w:r>
    </w:p>
    <w:p>
      <w:pPr>
        <w:pStyle w:val="Heading2"/>
        <w:spacing w:after="100" w:before="220"/>
      </w:pPr>
      <w:r>
        <w:t xml:space="preserve">La regla de decisión</w:t>
      </w:r>
    </w:p>
    <w:p>
      <w:pPr>
        <w:spacing w:after="140" w:line="276"/>
      </w:pPr>
      <w:r>
        <w:t xml:space="preserve">La </w:t>
      </w:r>
      <w:r>
        <w:rPr>
          <w:b/>
          <w:bCs/>
        </w:rPr>
        <w:t xml:space="preserve">política de dividendos óptima</w:t>
      </w:r>
      <w:r>
        <w:t xml:space="preserve"> tiene una regla de una sola línea: </w:t>
      </w:r>
      <w:r>
        <w:rPr>
          <w:b/>
          <w:bCs/>
        </w:rPr>
        <w:t xml:space="preserve">reinvertir mientras haya proyectos con RONIC &gt; WACC; distribuir (dividendos o recompras) cuando los proyectos marginales caen por debajo del WACC</w:t>
      </w:r>
      <w:r>
        <w:t xml:space="preserve">. La política de dividendos </w:t>
      </w:r>
      <w:r>
        <w:rPr>
          <w:b/>
          <w:bCs/>
        </w:rPr>
        <w:t xml:space="preserve">no es independiente</w:t>
      </w:r>
      <w:r>
        <w:t xml:space="preserve">: es el </w:t>
      </w:r>
      <w:r>
        <w:rPr>
          <w:b/>
          <w:bCs/>
        </w:rPr>
        <w:t xml:space="preserve">residuo</w:t>
      </w:r>
      <w:r>
        <w:t xml:space="preserve"> de la decisión de inversión. Primero decidís dónde rinde el capital; lo que sobra, se reparte.</w:t>
      </w:r>
    </w:p>
    <w:p>
      <w:pPr>
        <w:spacing w:after="140" w:line="276"/>
      </w:pPr>
      <w:r>
        <w:t xml:space="preserve">La lógica es directa. Si la empresa tiene proyectos que rinden por encima del costo del capital (RONIC &gt; WACC), </w:t>
      </w:r>
      <w:r>
        <w:rPr>
          <w:b/>
          <w:bCs/>
        </w:rPr>
        <w:t xml:space="preserve">retener</w:t>
      </w:r>
      <w:r>
        <w:t xml:space="preserve"> la caja y reinvertirla crea valor para el accionista: vale más que el dividendo. Pero si los proyectos marginales rinden por debajo (RONIC &lt; WACC), reinvertir </w:t>
      </w:r>
      <w:r>
        <w:rPr>
          <w:b/>
          <w:bCs/>
        </w:rPr>
        <w:t xml:space="preserve">destruye</w:t>
      </w:r>
      <w:r>
        <w:t xml:space="preserve"> valor; al accionista le conviene cobrar el dividendo y reinvertir él mismo a una tasa mejor afuera.</w:t>
      </w:r>
    </w:p>
    <w:p>
      <w:pPr>
        <w:spacing w:after="140" w:line="276"/>
      </w:pPr>
      <w:r>
        <w:t xml:space="preserve">Conecta con el </w:t>
      </w:r>
      <w:r>
        <w:rPr>
          <w:b/>
          <w:bCs/>
        </w:rPr>
        <w:t xml:space="preserve">crecimiento sostenible</w:t>
      </w:r>
      <w:r>
        <w:t xml:space="preserve">: g = RONIC × IR, y el Sustainable Growth Rate SGR = ROE × (1 − payout). El crecimiento que </w:t>
      </w:r>
      <w:r>
        <w:rPr>
          <w:b/>
          <w:bCs/>
        </w:rPr>
        <w:t xml:space="preserve">crea</w:t>
      </w:r>
      <w:r>
        <w:t xml:space="preserve"> valor es solo el que sale de reinvertir a RONIC &gt; WACC. Crecer reteniendo caja para proyectos malos es el peor de los mundos.</w:t>
      </w:r>
    </w:p>
    <w:p>
      <w:pPr>
        <w:pStyle w:val="Heading2"/>
        <w:spacing w:after="100" w:before="220"/>
      </w:pPr>
      <w:r>
        <w:t xml:space="preserve">El caso de Andina</w:t>
      </w:r>
    </w:p>
    <w:p>
      <w:pPr>
        <w:spacing w:after="140" w:line="276"/>
      </w:pPr>
      <w:r>
        <w:t xml:space="preserve">Andina reparte dividendos por </w:t>
      </w:r>
      <w:r>
        <w:rPr>
          <w:b/>
          <w:bCs/>
        </w:rPr>
        <w:t xml:space="preserve">120</w:t>
      </w:r>
      <w:r>
        <w:t xml:space="preserve"> (lo vemos en el flujo de financiación) mientras recurre al </w:t>
      </w:r>
      <w:r>
        <w:rPr>
          <w:b/>
          <w:bCs/>
        </w:rPr>
        <w:t xml:space="preserve">descubierto al 85%</w:t>
      </w:r>
      <w:r>
        <w:t xml:space="preserve"> para tapar baches de caja. Es una contradicción típica: distribuir caja con una mano y tomar deuda carísima con la otra. La pregunta correcta no es cuánto repartir, sino si el capital que retiene rinde por encima del WACC.</w:t>
      </w:r>
    </w:p>
    <w:p>
      <w:pPr>
        <w:spacing w:after="140" w:line="276"/>
      </w:pPr>
      <w:r>
        <w:t xml:space="preserve">Con un RONIC marginal probablemente </w:t>
      </w:r>
      <w:r>
        <w:rPr>
          <w:b/>
          <w:bCs/>
        </w:rPr>
        <w:t xml:space="preserve">por debajo</w:t>
      </w:r>
      <w:r>
        <w:t xml:space="preserve"> del WACC del 21%, la teoría diría que Andina debería distribuir y dejar de hundir capital en proyectos que destruyen valor. Pero acá entra el ajuste emergente: si la alternativa es dejar la caja en pesos </w:t>
      </w:r>
      <w:r>
        <w:rPr>
          <w:b/>
          <w:bCs/>
        </w:rPr>
        <w:t xml:space="preserve">licuándose</w:t>
      </w:r>
      <w:r>
        <w:t xml:space="preserve"> o atrapada por restricciones cambiarias, a veces conviene reinvertir aun con RONIC marginal bajo, simplemente porque el retorno de la caja ociosa es </w:t>
      </w:r>
      <w:r>
        <w:rPr>
          <w:b/>
          <w:bCs/>
        </w:rPr>
        <w:t xml:space="preserve">todavía peor</w:t>
      </w:r>
      <w:r>
        <w:t xml:space="preserve">. La regla teórica se ajusta por la opción de salida real del capital.</w:t>
      </w:r>
    </w:p>
    <w:p>
      <w:pPr>
        <w:pStyle w:val="Heading2"/>
        <w:spacing w:after="100" w:before="220"/>
      </w:pPr>
      <w:r>
        <w:t xml:space="preserve">Interrelaciones y caveats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la política de dividendos cierra el círculo del programa. Se conecta con el </w:t>
      </w:r>
      <w:r>
        <w:rPr>
          <w:b/>
          <w:bCs/>
        </w:rPr>
        <w:t xml:space="preserve">RONIC</w:t>
      </w:r>
      <w:r>
        <w:t xml:space="preserve"> (ítem 3) que la gobierna, con la </w:t>
      </w:r>
      <w:r>
        <w:rPr>
          <w:b/>
          <w:bCs/>
        </w:rPr>
        <w:t xml:space="preserve">KVD</w:t>
      </w:r>
      <w:r>
        <w:t xml:space="preserve"> (ítem 4) que pone número al valor de retener vs. distribuir, con la </w:t>
      </w:r>
      <w:r>
        <w:rPr>
          <w:b/>
          <w:bCs/>
        </w:rPr>
        <w:t xml:space="preserve">asignación de capital</w:t>
      </w:r>
      <w:r>
        <w:t xml:space="preserve"> por unidad de negocio (dar capital a las unidades con RONIC &gt; WACC, desinvertir las de RONIC &lt; WACC, como en las matrices BCG/GE-McKinsey) y con el bloque de caja del TSR.</w:t>
      </w:r>
    </w:p>
    <w:p>
      <w:pPr>
        <w:spacing w:after="140" w:line="276"/>
      </w:pPr>
      <w:r>
        <w:rPr>
          <w:b/>
          <w:bCs/>
        </w:rPr>
        <w:t xml:space="preserve">Caveat:</w:t>
      </w:r>
      <w:r>
        <w:t xml:space="preserve"> la regla se ajusta en mercados emergentes por el cepo y las restricciones al giro de dividendos, que distorsionan la "opción de salida" del capital. Y el eje de riesgo se lee en paralelo: una empresa puede </w:t>
      </w:r>
      <w:r>
        <w:rPr>
          <w:b/>
          <w:bCs/>
        </w:rPr>
        <w:t xml:space="preserve">no quebrar</w:t>
      </w:r>
      <w:r>
        <w:t xml:space="preserve"> (solvente) y aun así estar reteniendo caja para destruir valor. No confundir supervivencia con creación de valor.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NOPAT disponible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RONIC de los proyectos nuevos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WACC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0.21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reinversión propuesta (IR)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0.4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Caja a reinvertir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nopat*ir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Caja a distribuir (payout)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nopat*(1-ir)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Spread del capital nuevo (RONIC − WACC)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ronic-wacc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Crecimiento sostenible (RONIC × IR)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ronic*ir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2026-06-24T11:50:52.314Z</dcterms:created>
  <dcterms:modified xsi:type="dcterms:W3CDTF">2026-06-24T11:50:52.314Z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