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5</w:t>
      </w:r>
    </w:p>
    <w:p>
      <w:pPr>
        <w:pStyle w:val="Title"/>
        <w:spacing w:after="40"/>
      </w:pPr>
      <w:r>
        <w:t xml:space="preserve">Ítem 1. Liquidez: ¿la empresa puede pagar mañana?</w:t>
      </w:r>
    </w:p>
    <w:p>
      <w:pPr>
        <w:spacing w:after="40"/>
      </w:pPr>
      <w:r>
        <w:rPr>
          <w:i/>
          <w:iCs/>
          <w:color w:val="555555"/>
          <w:sz w:val="22"/>
          <w:szCs w:val="22"/>
        </w:rPr>
        <w:t xml:space="preserve">Razón corriente, prueba ácida y ratio de caja en Andina</w:t>
      </w:r>
    </w:p>
    <w:p>
      <w:pPr>
        <w:spacing w:after="160"/>
      </w:pPr>
      <w:r>
        <w:rPr>
          <w:b/>
          <w:bCs/>
          <w:color w:val="94741F"/>
          <w:sz w:val="18"/>
          <w:szCs w:val="18"/>
        </w:rPr>
        <w:t xml:space="preserve">Marco: Análisis de liquidez · capital de trabajo</w:t>
      </w:r>
    </w:p>
    <w:p>
      <w:pPr>
        <w:pStyle w:val="Heading2"/>
        <w:spacing w:after="100" w:before="220"/>
      </w:pPr>
      <w:r>
        <w:t xml:space="preserve">Tres lupas con distinto aumento</w:t>
      </w:r>
    </w:p>
    <w:p>
      <w:pPr>
        <w:spacing w:after="140" w:line="276"/>
      </w:pPr>
      <w:r>
        <w:t xml:space="preserve">La </w:t>
      </w:r>
      <w:r>
        <w:rPr>
          <w:b/>
          <w:bCs/>
        </w:rPr>
        <w:t xml:space="preserve">liquidez</w:t>
      </w:r>
      <w:r>
        <w:t xml:space="preserve"> mide si la empresa puede cubrir sus obligaciones de corto plazo con los activos que se convierten en efectivo pronto. No habla de si el negocio es rentable —eso es lo </w:t>
      </w:r>
      <w:r>
        <w:rPr>
          <w:b/>
          <w:bCs/>
        </w:rPr>
        <w:t xml:space="preserve">económico</w:t>
      </w:r>
      <w:r>
        <w:t xml:space="preserve">—, sino de si la caja alcanza para llegar a fin de mes: es la dimensión </w:t>
      </w:r>
      <w:r>
        <w:rPr>
          <w:b/>
          <w:bCs/>
        </w:rPr>
        <w:t xml:space="preserve">financiera</w:t>
      </w:r>
      <w:r>
        <w:t xml:space="preserve">. Una empresa puede ganar plata y, aun así, ahogarse por falta de liquidez. Andina Manufacturas es exactamente ese caso: muestra utilidad contable pero vive tensionando la caja con descubierto y cheques diferidos.</w:t>
      </w:r>
    </w:p>
    <w:p>
      <w:pPr>
        <w:spacing w:after="140" w:line="276"/>
      </w:pPr>
      <w:r>
        <w:t xml:space="preserve">La </w:t>
      </w:r>
      <w:r>
        <w:rPr>
          <w:b/>
          <w:bCs/>
        </w:rPr>
        <w:t xml:space="preserve">razón corriente</w:t>
      </w:r>
      <w:r>
        <w:t xml:space="preserve"> (Activo Corriente / Pasivo Corriente) es la lupa más gruesa: cuántos pesos de activo corriente hay por cada peso que vence en el corto plazo. La </w:t>
      </w:r>
      <w:r>
        <w:rPr>
          <w:b/>
          <w:bCs/>
        </w:rPr>
        <w:t xml:space="preserve">prueba ácida</w:t>
      </w:r>
      <w:r>
        <w:t xml:space="preserve"> afina y resta los inventarios, porque el stock es lo más difícil de convertir en caja rápido —y en Andina hay 420 de mercadería obsoleta inflando ese inventario—. El </w:t>
      </w:r>
      <w:r>
        <w:rPr>
          <w:b/>
          <w:bCs/>
        </w:rPr>
        <w:t xml:space="preserve">ratio de caja</w:t>
      </w:r>
      <w:r>
        <w:t xml:space="preserve"> es la lupa más exigente: solo cuenta caja, bancos e inversiones transitorias contra el pasivo corriente. Responde la pregunta brutal: "si todos los acreedores golpean la puerta hoy, ¿con qué les pago?".</w:t>
      </w:r>
    </w:p>
    <w:p>
      <w:pPr>
        <w:spacing w:after="140" w:line="276"/>
      </w:pPr>
      <w:r>
        <w:t xml:space="preserve">En Andina la caja operativa es de apenas </w:t>
      </w:r>
      <w:r>
        <w:rPr>
          <w:b/>
          <w:bCs/>
        </w:rPr>
        <w:t xml:space="preserve">180</w:t>
      </w:r>
      <w:r>
        <w:t xml:space="preserve"> y el descubierto bancario, de </w:t>
      </w:r>
      <w:r>
        <w:rPr>
          <w:b/>
          <w:bCs/>
        </w:rPr>
        <w:t xml:space="preserve">540</w:t>
      </w:r>
      <w:r>
        <w:t xml:space="preserve">: la sola caja no cubre ni el producto financiero más caro y urgente. Por eso el ratio de caja es la métrica que más rápido enciende la alarma, mientras la razón corriente —cargada de cuentas por cobrar lentas e inventario obsoleto— todavía luce engañosamente cómoda.</w:t>
      </w:r>
    </w:p>
    <w:p>
      <w:pPr>
        <w:pStyle w:val="Heading2"/>
        <w:spacing w:after="100" w:before="220"/>
      </w:pPr>
      <w:r>
        <w:t xml:space="preserve">De dónde sale cada número</w:t>
      </w:r>
    </w:p>
    <w:p>
      <w:pPr>
        <w:spacing w:after="140" w:line="276"/>
      </w:pPr>
      <w:r>
        <w:t xml:space="preserve">El </w:t>
      </w:r>
      <w:r>
        <w:rPr>
          <w:b/>
          <w:bCs/>
        </w:rPr>
        <w:t xml:space="preserve">Activo Corriente</w:t>
      </w:r>
      <w:r>
        <w:t xml:space="preserve"> suma caja y bancos, inversiones transitorias, cuentas por cobrar, otros créditos e inventarios (del balance). El </w:t>
      </w:r>
      <w:r>
        <w:rPr>
          <w:b/>
          <w:bCs/>
        </w:rPr>
        <w:t xml:space="preserve">Pasivo Corriente</w:t>
      </w:r>
      <w:r>
        <w:t xml:space="preserve"> suma descubierto, cheques diferidos, proveedores, préstamos de corto plazo y cargas fiscales y sociales. La prueba ácida quita del numerador el </w:t>
      </w:r>
      <w:r>
        <w:rPr>
          <w:b/>
          <w:bCs/>
        </w:rPr>
        <w:t xml:space="preserve">inventario</w:t>
      </w:r>
      <w:r>
        <w:t xml:space="preserve">; el ratio de caja deja solo los </w:t>
      </w:r>
      <w:r>
        <w:rPr>
          <w:b/>
          <w:bCs/>
        </w:rPr>
        <w:t xml:space="preserve">activos líquidos inmediatos</w:t>
      </w:r>
      <w:r>
        <w:t xml:space="preserve"> (caja + inversiones transitorias).</w:t>
      </w:r>
    </w:p>
    <w:p>
      <w:pPr>
        <w:spacing w:after="140" w:line="276"/>
      </w:pPr>
      <w:r>
        <w:t xml:space="preserve">El umbral clásico de razón corriente es </w:t>
      </w:r>
      <w:r>
        <w:rPr>
          <w:b/>
          <w:bCs/>
        </w:rPr>
        <w:t xml:space="preserve">1,5–2</w:t>
      </w:r>
      <w:r>
        <w:t xml:space="preserve"> y el de prueba ácida, cerca de </w:t>
      </w:r>
      <w:r>
        <w:rPr>
          <w:b/>
          <w:bCs/>
        </w:rPr>
        <w:t xml:space="preserve">1</w:t>
      </w:r>
      <w:r>
        <w:t xml:space="preserve">, pero son referencias, no leyes: un supermercado sano vive con razón corriente menor a 1 porque cobra al contado y paga a proveedores a 60 días. Lo que importa es la </w:t>
      </w:r>
      <w:r>
        <w:rPr>
          <w:b/>
          <w:bCs/>
        </w:rPr>
        <w:t xml:space="preserve">calidad</w:t>
      </w:r>
      <w:r>
        <w:t xml:space="preserve"> de los activos corrientes, no solo su monto. Andina tiene una razón corriente aceptable en el papel, pero está sostenida por activos de baja calidad: cobranzas que se estiran e inventario que no rota.</w:t>
      </w:r>
    </w:p>
    <w:p>
      <w:pPr>
        <w:pStyle w:val="Heading2"/>
        <w:spacing w:after="100" w:before="220"/>
      </w:pPr>
      <w:r>
        <w:t xml:space="preserve">Interrelación: liquidez, ciclo de efectivo y valor</w:t>
      </w:r>
    </w:p>
    <w:p>
      <w:pPr>
        <w:spacing w:after="140" w:line="276"/>
      </w:pPr>
      <w:r>
        <w:t xml:space="preserve">La liquidez no es un compartimento aislado: es la consecuencia financiera del </w:t>
      </w:r>
      <w:r>
        <w:rPr>
          <w:b/>
          <w:bCs/>
        </w:rPr>
        <w:t xml:space="preserve">Ciclo de Conversión de Efectivo (CCE)</w:t>
      </w:r>
      <w:r>
        <w:t xml:space="preserve">. Cuando los días de inventario y de cobranza se estiran más rápido que los días de pago a proveedores, la caja queda atrapada en el capital de trabajo y la liquidez se deteriora. Ese capital atrapado, además, infla el </w:t>
      </w:r>
      <w:r>
        <w:rPr>
          <w:b/>
          <w:bCs/>
        </w:rPr>
        <w:t xml:space="preserve">Capital Invertido</w:t>
      </w:r>
      <w:r>
        <w:t xml:space="preserve"> y por esa vía castiga el </w:t>
      </w:r>
      <w:r>
        <w:rPr>
          <w:b/>
          <w:bCs/>
        </w:rPr>
        <w:t xml:space="preserve">ROIC</w:t>
      </w:r>
      <w:r>
        <w:t xml:space="preserve"> y el </w:t>
      </w:r>
      <w:r>
        <w:rPr>
          <w:b/>
          <w:bCs/>
        </w:rPr>
        <w:t xml:space="preserve">EVA</w:t>
      </w:r>
      <w:r>
        <w:t xml:space="preserve"> (la creación de valor de las próximas semanas).</w:t>
      </w:r>
    </w:p>
    <w:p>
      <w:pPr>
        <w:spacing w:after="140" w:line="276"/>
      </w:pPr>
      <w:r>
        <w:rPr>
          <w:b/>
          <w:bCs/>
        </w:rPr>
        <w:t xml:space="preserve">Interrelación clave:</w:t>
      </w:r>
      <w:r>
        <w:t xml:space="preserve"> la baja liquidez empuja a Andina al descubierto caro (TNA ~85%), lo que dispara los </w:t>
      </w:r>
      <w:r>
        <w:rPr>
          <w:b/>
          <w:bCs/>
        </w:rPr>
        <w:t xml:space="preserve">intereses</w:t>
      </w:r>
      <w:r>
        <w:t xml:space="preserve"> —560 sobre un EBIT de 830— y prepara el terreno para el apalancamiento financiero peligroso de los ítems 4 y 5. Liquidez frágil hoy es destrucción de valor mañana. Por eso el eje </w:t>
      </w:r>
      <w:r>
        <w:rPr>
          <w:b/>
          <w:bCs/>
        </w:rPr>
        <w:t xml:space="preserve">financiero</w:t>
      </w:r>
      <w:r>
        <w:t xml:space="preserve"> (¿puedo pagar?) se lee en paralelo, nunca confundido, con el eje </w:t>
      </w:r>
      <w:r>
        <w:rPr>
          <w:b/>
          <w:bCs/>
        </w:rPr>
        <w:t xml:space="preserve">económico</w:t>
      </w:r>
      <w:r>
        <w:t xml:space="preserve"> (¿estoy creando valor?).</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Caja, bancos e inversiones transitorias</w:t>
            </w:r>
          </w:p>
        </w:tc>
        <w:tc>
          <w:p>
            <w:pPr>
              <w:jc w:val="right"/>
            </w:pPr>
            <w:r>
              <w:rPr>
                <w:sz w:val="18"/>
                <w:szCs w:val="18"/>
              </w:rPr>
              <w:t xml:space="preserve">240</w:t>
            </w:r>
          </w:p>
        </w:tc>
      </w:tr>
      <w:tr>
        <w:tc>
          <w:p>
            <w:pPr>
              <w:jc w:val="left"/>
            </w:pPr>
            <w:r>
              <w:rPr>
                <w:sz w:val="18"/>
                <w:szCs w:val="18"/>
              </w:rPr>
              <w:t xml:space="preserve">Cuentas por cobrar y otros créditos</w:t>
            </w:r>
          </w:p>
        </w:tc>
        <w:tc>
          <w:p>
            <w:pPr>
              <w:jc w:val="right"/>
            </w:pPr>
            <w:r>
              <w:rPr>
                <w:sz w:val="18"/>
                <w:szCs w:val="18"/>
              </w:rPr>
              <w:t xml:space="preserve">2170</w:t>
            </w:r>
          </w:p>
        </w:tc>
      </w:tr>
      <w:tr>
        <w:tc>
          <w:p>
            <w:pPr>
              <w:jc w:val="left"/>
            </w:pPr>
            <w:r>
              <w:rPr>
                <w:sz w:val="18"/>
                <w:szCs w:val="18"/>
              </w:rPr>
              <w:t xml:space="preserve">Inventarios</w:t>
            </w:r>
          </w:p>
        </w:tc>
        <w:tc>
          <w:p>
            <w:pPr>
              <w:jc w:val="right"/>
            </w:pPr>
            <w:r>
              <w:rPr>
                <w:sz w:val="18"/>
                <w:szCs w:val="18"/>
              </w:rPr>
              <w:t xml:space="preserve">2400</w:t>
            </w:r>
          </w:p>
        </w:tc>
      </w:tr>
      <w:tr>
        <w:tc>
          <w:p>
            <w:pPr>
              <w:jc w:val="left"/>
            </w:pPr>
            <w:r>
              <w:rPr>
                <w:sz w:val="18"/>
                <w:szCs w:val="18"/>
              </w:rPr>
              <w:t xml:space="preserve">Pasivo corriente</w:t>
            </w:r>
          </w:p>
        </w:tc>
        <w:tc>
          <w:p>
            <w:pPr>
              <w:jc w:val="right"/>
            </w:pPr>
            <w:r>
              <w:rPr>
                <w:sz w:val="18"/>
                <w:szCs w:val="18"/>
              </w:rPr>
              <w:t xml:space="preserve">3250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Activo corriente</w:t>
            </w:r>
          </w:p>
        </w:tc>
        <w:tc>
          <w:p>
            <w:pPr>
              <w:jc w:val="right"/>
            </w:pPr>
            <w:r>
              <w:rPr>
                <w:sz w:val="18"/>
                <w:szCs w:val="18"/>
              </w:rPr>
              <w:t xml:space="preserve">caja+cxc+inv</w:t>
            </w:r>
          </w:p>
        </w:tc>
      </w:tr>
      <w:tr>
        <w:tc>
          <w:p>
            <w:pPr>
              <w:jc w:val="left"/>
            </w:pPr>
            <w:r>
              <w:rPr>
                <w:sz w:val="18"/>
                <w:szCs w:val="18"/>
              </w:rPr>
              <w:t xml:space="preserve">Razón corriente (AC / PC)</w:t>
            </w:r>
          </w:p>
        </w:tc>
        <w:tc>
          <w:p>
            <w:pPr>
              <w:jc w:val="right"/>
            </w:pPr>
            <w:r>
              <w:rPr>
                <w:sz w:val="18"/>
                <w:szCs w:val="18"/>
              </w:rPr>
              <w:t xml:space="preserve">ac/pc</w:t>
            </w:r>
          </w:p>
        </w:tc>
      </w:tr>
      <w:tr>
        <w:tc>
          <w:p>
            <w:pPr>
              <w:jc w:val="left"/>
            </w:pPr>
            <w:r>
              <w:rPr>
                <w:sz w:val="18"/>
                <w:szCs w:val="18"/>
              </w:rPr>
              <w:t xml:space="preserve">Prueba ácida ((AC − Inv) / PC)</w:t>
            </w:r>
          </w:p>
        </w:tc>
        <w:tc>
          <w:p>
            <w:pPr>
              <w:jc w:val="right"/>
            </w:pPr>
            <w:r>
              <w:rPr>
                <w:sz w:val="18"/>
                <w:szCs w:val="18"/>
              </w:rPr>
              <w:t xml:space="preserve">(ac-inv)/pc</w:t>
            </w:r>
          </w:p>
        </w:tc>
      </w:tr>
      <w:tr>
        <w:tc>
          <w:p>
            <w:pPr>
              <w:jc w:val="left"/>
            </w:pPr>
            <w:r>
              <w:rPr>
                <w:sz w:val="18"/>
                <w:szCs w:val="18"/>
              </w:rPr>
              <w:t xml:space="preserve">Ratio de caja (Caja / PC)</w:t>
            </w:r>
          </w:p>
        </w:tc>
        <w:tc>
          <w:p>
            <w:pPr>
              <w:jc w:val="right"/>
            </w:pPr>
            <w:r>
              <w:rPr>
                <w:sz w:val="18"/>
                <w:szCs w:val="18"/>
              </w:rPr>
              <w:t xml:space="preserve">caja/pc</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2026-06-24T11:50:52.331Z</dcterms:created>
  <dcterms:modified xsi:type="dcterms:W3CDTF">2026-06-24T11:50:52.331Z</dcterms:modified>
</cp:coreProperties>
</file>

<file path=docProps/custom.xml><?xml version="1.0" encoding="utf-8"?>
<Properties xmlns="http://schemas.openxmlformats.org/officeDocument/2006/custom-properties" xmlns:vt="http://schemas.openxmlformats.org/officeDocument/2006/docPropsVTypes"/>
</file>