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5</w:t>
      </w:r>
    </w:p>
    <w:p>
      <w:pPr>
        <w:pStyle w:val="Title"/>
        <w:spacing w:after="40"/>
      </w:pPr>
      <w:r>
        <w:t xml:space="preserve">Ítem 2. Solvencia: ¿aguanta el peso de la deuda?</w:t>
      </w:r>
    </w:p>
    <w:p>
      <w:pPr>
        <w:spacing w:after="40"/>
      </w:pPr>
      <w:r>
        <w:rPr>
          <w:i/>
          <w:iCs/>
          <w:color w:val="555555"/>
          <w:sz w:val="22"/>
          <w:szCs w:val="22"/>
        </w:rPr>
        <w:t xml:space="preserve">Deuda / Patrimonio y cobertura de intereses en Andina</w:t>
      </w:r>
    </w:p>
    <w:p>
      <w:pPr>
        <w:spacing w:after="160"/>
      </w:pPr>
      <w:r>
        <w:rPr>
          <w:b/>
          <w:bCs/>
          <w:color w:val="94741F"/>
          <w:sz w:val="18"/>
          <w:szCs w:val="18"/>
        </w:rPr>
        <w:t xml:space="preserve">Marco: Análisis de solvencia · estructura de capital</w:t>
      </w:r>
    </w:p>
    <w:p>
      <w:pPr>
        <w:pStyle w:val="Heading2"/>
        <w:spacing w:after="100" w:before="220"/>
      </w:pPr>
      <w:r>
        <w:t xml:space="preserve">De la foto de hoy al largo plazo</w:t>
      </w:r>
    </w:p>
    <w:p>
      <w:pPr>
        <w:spacing w:after="140" w:line="276"/>
      </w:pPr>
      <w:r>
        <w:t xml:space="preserve">Si la liquidez mira el corto plazo, la </w:t>
      </w:r>
      <w:r>
        <w:rPr>
          <w:b/>
          <w:bCs/>
        </w:rPr>
        <w:t xml:space="preserve">solvencia</w:t>
      </w:r>
      <w:r>
        <w:t xml:space="preserve"> mira el largo: ¿la empresa puede sostener toda su deuda con su patrimonio y su capacidad de generar resultado operativo? Es la diferencia entre poder pagar la cuenta de mañana y poder sostener la estructura de financiamiento durante años. Dos ratios la capturan: la </w:t>
      </w:r>
      <w:r>
        <w:rPr>
          <w:b/>
          <w:bCs/>
        </w:rPr>
        <w:t xml:space="preserve">relación Deuda / Patrimonio</w:t>
      </w:r>
      <w:r>
        <w:t xml:space="preserve"> (cuánto debe la empresa por cada peso propio) y la </w:t>
      </w:r>
      <w:r>
        <w:rPr>
          <w:b/>
          <w:bCs/>
        </w:rPr>
        <w:t xml:space="preserve">cobertura de intereses</w:t>
      </w:r>
      <w:r>
        <w:t xml:space="preserve"> (cuántas veces el EBIT alcanza para pagar los intereses).</w:t>
      </w:r>
    </w:p>
    <w:p>
      <w:pPr>
        <w:spacing w:after="140" w:line="276"/>
      </w:pPr>
      <w:r>
        <w:t xml:space="preserve">La </w:t>
      </w:r>
      <w:r>
        <w:rPr>
          <w:b/>
          <w:bCs/>
        </w:rPr>
        <w:t xml:space="preserve">Deuda / Patrimonio</w:t>
      </w:r>
      <w:r>
        <w:t xml:space="preserve"> (D/PN) habla de la estructura: una empresa muy apalancada amplifica tanto las ganancias como las pérdidas, y queda a merced de los acreedores. La </w:t>
      </w:r>
      <w:r>
        <w:rPr>
          <w:b/>
          <w:bCs/>
        </w:rPr>
        <w:t xml:space="preserve">cobertura de intereses</w:t>
      </w:r>
      <w:r>
        <w:t xml:space="preserve"> (EBIT / Intereses) habla del flujo: mide cuánto colchón hay entre lo que el negocio genera operativamente y lo que se lleva el costo financiero. Una cobertura de 1,5 significa que el EBIT apenas supera en 50% a los intereses: cualquier caída de ventas deja a la empresa sin con qué pagarlos.</w:t>
      </w:r>
    </w:p>
    <w:p>
      <w:pPr>
        <w:spacing w:after="140" w:line="276"/>
      </w:pPr>
      <w:r>
        <w:t xml:space="preserve">En Andina el </w:t>
      </w:r>
      <w:r>
        <w:rPr>
          <w:b/>
          <w:bCs/>
        </w:rPr>
        <w:t xml:space="preserve">EBIT es 830</w:t>
      </w:r>
      <w:r>
        <w:t xml:space="preserve"> y los </w:t>
      </w:r>
      <w:r>
        <w:rPr>
          <w:b/>
          <w:bCs/>
        </w:rPr>
        <w:t xml:space="preserve">intereses, 560</w:t>
      </w:r>
      <w:r>
        <w:t xml:space="preserve">: la cobertura es de apenas </w:t>
      </w:r>
      <w:r>
        <w:rPr>
          <w:b/>
          <w:bCs/>
        </w:rPr>
        <w:t xml:space="preserve">1,48 veces</w:t>
      </w:r>
      <w:r>
        <w:t xml:space="preserve">. El negocio operativo es sólido, pero el costo de la deuda cara se come casi dos tercios del resultado operativo. Esa es la huella de una empresa que económicamente funciona pero financieramente está al filo.</w:t>
      </w:r>
    </w:p>
    <w:p>
      <w:pPr>
        <w:pStyle w:val="Heading2"/>
        <w:spacing w:after="100" w:before="220"/>
      </w:pPr>
      <w:r>
        <w:t xml:space="preserve">Solo importa la deuda onerosa</w:t>
      </w:r>
    </w:p>
    <w:p>
      <w:pPr>
        <w:spacing w:after="140" w:line="276"/>
      </w:pPr>
      <w:r>
        <w:t xml:space="preserve">Una sutileza clave: no toda deuda pesa igual. Los </w:t>
      </w:r>
      <w:r>
        <w:rPr>
          <w:b/>
          <w:bCs/>
        </w:rPr>
        <w:t xml:space="preserve">proveedores comerciales</w:t>
      </w:r>
      <w:r>
        <w:t xml:space="preserve"> son financiamiento </w:t>
      </w:r>
      <w:r>
        <w:rPr>
          <w:b/>
          <w:bCs/>
        </w:rPr>
        <w:t xml:space="preserve">no oneroso</w:t>
      </w:r>
      <w:r>
        <w:t xml:space="preserve"> (no cobran interés explícito si se paga en término): son el "buen" pasivo. La </w:t>
      </w:r>
      <w:r>
        <w:rPr>
          <w:b/>
          <w:bCs/>
        </w:rPr>
        <w:t xml:space="preserve">deuda onerosa</w:t>
      </w:r>
      <w:r>
        <w:t xml:space="preserve"> —descubierto, cheques diferidos, préstamos bancarios— es la que devenga intereses y la que verdaderamente compromete la solvencia. Para el análisis fino conviene mirar la deuda </w:t>
      </w:r>
      <w:r>
        <w:rPr>
          <w:b/>
          <w:bCs/>
        </w:rPr>
        <w:t xml:space="preserve">financiera</w:t>
      </w:r>
      <w:r>
        <w:t xml:space="preserve"> sobre patrimonio, no el pasivo total.</w:t>
      </w:r>
    </w:p>
    <w:p>
      <w:pPr>
        <w:spacing w:after="140" w:line="276"/>
      </w:pPr>
      <w:r>
        <w:t xml:space="preserve">En Andina la deuda onerosa (descubierto 540 + cheques + préstamos de corto y largo plazo) es alta y, sobre todo, </w:t>
      </w:r>
      <w:r>
        <w:rPr>
          <w:b/>
          <w:bCs/>
        </w:rPr>
        <w:t xml:space="preserve">cara</w:t>
      </w:r>
      <w:r>
        <w:t xml:space="preserve">: el descubierto tiene una TNA cercana al 85%. No es un problema de cantidad de deuda solamente, sino de su </w:t>
      </w:r>
      <w:r>
        <w:rPr>
          <w:b/>
          <w:bCs/>
        </w:rPr>
        <w:t xml:space="preserve">costo</w:t>
      </w:r>
      <w:r>
        <w:t xml:space="preserve">. Una misma relación D/PN es muchísimo más peligrosa con tasas locales altas que con tasas de manual estadounidense.</w:t>
      </w:r>
    </w:p>
    <w:p>
      <w:pPr>
        <w:pStyle w:val="Heading2"/>
        <w:spacing w:after="100" w:before="220"/>
      </w:pPr>
      <w:r>
        <w:t xml:space="preserve">Interrelación: solvencia, GAF y riesgo de quiebra</w:t>
      </w:r>
    </w:p>
    <w:p>
      <w:pPr>
        <w:spacing w:after="140" w:line="276"/>
      </w:pPr>
      <w:r>
        <w:t xml:space="preserve">La cobertura de intereses es la antesala del </w:t>
      </w:r>
      <w:r>
        <w:rPr>
          <w:b/>
          <w:bCs/>
        </w:rPr>
        <w:t xml:space="preserve">Grado de Apalancamiento Financiero (GAF)</w:t>
      </w:r>
      <w:r>
        <w:t xml:space="preserve"> del ítem 4: matemáticamente, GAF = EBIT / (EBIT − Intereses), y la cobertura es EBIT / Intereses. Cuando la cobertura se acerca a 1, el GAF se dispara y el riesgo financiero explota. La solvencia, el GAF y, más adelante, el </w:t>
      </w:r>
      <w:r>
        <w:rPr>
          <w:b/>
          <w:bCs/>
        </w:rPr>
        <w:t xml:space="preserve">Altman Z′′</w:t>
      </w:r>
      <w:r>
        <w:t xml:space="preserve"> forman el </w:t>
      </w:r>
      <w:r>
        <w:rPr>
          <w:b/>
          <w:bCs/>
        </w:rPr>
        <w:t xml:space="preserve">eje de riesgo</w:t>
      </w:r>
      <w:r>
        <w:t xml:space="preserve"> integrado del negocio.</w:t>
      </w:r>
    </w:p>
    <w:p>
      <w:pPr>
        <w:spacing w:after="140" w:line="276"/>
      </w:pPr>
      <w:r>
        <w:rPr>
          <w:b/>
          <w:bCs/>
        </w:rPr>
        <w:t xml:space="preserve">Interrelación clave:</w:t>
      </w:r>
      <w:r>
        <w:t xml:space="preserve"> una empresa puede ser </w:t>
      </w:r>
      <w:r>
        <w:rPr>
          <w:b/>
          <w:bCs/>
        </w:rPr>
        <w:t xml:space="preserve">solvente</w:t>
      </w:r>
      <w:r>
        <w:t xml:space="preserve"> (sobrevive, no quiebra) y a la vez </w:t>
      </w:r>
      <w:r>
        <w:rPr>
          <w:b/>
          <w:bCs/>
        </w:rPr>
        <w:t xml:space="preserve">destruir valor</w:t>
      </w:r>
      <w:r>
        <w:t xml:space="preserve"> (su ROIC no supera al WACC). Son ejes ortogonales: la solvencia dice si la empresa sobrevive; la creación de valor, si vale la pena que sobreviva. Por eso este análisis financiero se lee en paralelo al análisis económico de las semanas siguientes, nunca como sustituto.</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Deuda onerosa (descubierto + cheques + préstamos)</w:t>
            </w:r>
          </w:p>
        </w:tc>
        <w:tc>
          <w:p>
            <w:pPr>
              <w:jc w:val="right"/>
            </w:pPr>
            <w:r>
              <w:rPr>
                <w:sz w:val="18"/>
                <w:szCs w:val="18"/>
              </w:rPr>
              <w:t xml:space="preserve">2570</w:t>
            </w:r>
          </w:p>
        </w:tc>
      </w:tr>
      <w:tr>
        <w:tc>
          <w:p>
            <w:pPr>
              <w:jc w:val="left"/>
            </w:pPr>
            <w:r>
              <w:rPr>
                <w:sz w:val="18"/>
                <w:szCs w:val="18"/>
              </w:rPr>
              <w:t xml:space="preserve">Patrimonio neto</w:t>
            </w:r>
          </w:p>
        </w:tc>
        <w:tc>
          <w:p>
            <w:pPr>
              <w:jc w:val="right"/>
            </w:pPr>
            <w:r>
              <w:rPr>
                <w:sz w:val="18"/>
                <w:szCs w:val="18"/>
              </w:rPr>
              <w:t xml:space="preserve">2770</w:t>
            </w:r>
          </w:p>
        </w:tc>
      </w:tr>
      <w:tr>
        <w:tc>
          <w:p>
            <w:pPr>
              <w:jc w:val="left"/>
            </w:pPr>
            <w:r>
              <w:rPr>
                <w:sz w:val="18"/>
                <w:szCs w:val="18"/>
              </w:rPr>
              <w:t xml:space="preserve">EBIT (resultado operativo)</w:t>
            </w:r>
          </w:p>
        </w:tc>
        <w:tc>
          <w:p>
            <w:pPr>
              <w:jc w:val="right"/>
            </w:pPr>
            <w:r>
              <w:rPr>
                <w:sz w:val="18"/>
                <w:szCs w:val="18"/>
              </w:rPr>
              <w:t xml:space="preserve">830</w:t>
            </w:r>
          </w:p>
        </w:tc>
      </w:tr>
      <w:tr>
        <w:tc>
          <w:p>
            <w:pPr>
              <w:jc w:val="left"/>
            </w:pPr>
            <w:r>
              <w:rPr>
                <w:sz w:val="18"/>
                <w:szCs w:val="18"/>
              </w:rPr>
              <w:t xml:space="preserve">Intereses (resultados financieros)</w:t>
            </w:r>
          </w:p>
        </w:tc>
        <w:tc>
          <w:p>
            <w:pPr>
              <w:jc w:val="right"/>
            </w:pPr>
            <w:r>
              <w:rPr>
                <w:sz w:val="18"/>
                <w:szCs w:val="18"/>
              </w:rPr>
              <w:t xml:space="preserve">560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Deuda / Patrimonio (D/PN)</w:t>
            </w:r>
          </w:p>
        </w:tc>
        <w:tc>
          <w:p>
            <w:pPr>
              <w:jc w:val="right"/>
            </w:pPr>
            <w:r>
              <w:rPr>
                <w:sz w:val="18"/>
                <w:szCs w:val="18"/>
              </w:rPr>
              <w:t xml:space="preserve">deuda/pn</w:t>
            </w:r>
          </w:p>
        </w:tc>
      </w:tr>
      <w:tr>
        <w:tc>
          <w:p>
            <w:pPr>
              <w:jc w:val="left"/>
            </w:pPr>
            <w:r>
              <w:rPr>
                <w:sz w:val="18"/>
                <w:szCs w:val="18"/>
              </w:rPr>
              <w:t xml:space="preserve">Cobertura de intereses (EBIT / Int.)</w:t>
            </w:r>
          </w:p>
        </w:tc>
        <w:tc>
          <w:p>
            <w:pPr>
              <w:jc w:val="right"/>
            </w:pPr>
            <w:r>
              <w:rPr>
                <w:sz w:val="18"/>
                <w:szCs w:val="18"/>
              </w:rPr>
              <w:t xml:space="preserve">ebit/intereses</w:t>
            </w:r>
          </w:p>
        </w:tc>
      </w:tr>
      <w:tr>
        <w:tc>
          <w:p>
            <w:pPr>
              <w:jc w:val="left"/>
            </w:pPr>
            <w:r>
              <w:rPr>
                <w:sz w:val="18"/>
                <w:szCs w:val="18"/>
              </w:rPr>
              <w:t xml:space="preserve">Colchón sobre intereses (EBIT − Int.)</w:t>
            </w:r>
          </w:p>
        </w:tc>
        <w:tc>
          <w:p>
            <w:pPr>
              <w:jc w:val="right"/>
            </w:pPr>
            <w:r>
              <w:rPr>
                <w:sz w:val="18"/>
                <w:szCs w:val="18"/>
              </w:rPr>
              <w:t xml:space="preserve">ebit-intereses</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2026-06-24T11:50:52.348Z</dcterms:created>
  <dcterms:modified xsi:type="dcterms:W3CDTF">2026-06-24T11:50:52.348Z</dcterms:modified>
</cp:coreProperties>
</file>

<file path=docProps/custom.xml><?xml version="1.0" encoding="utf-8"?>
<Properties xmlns="http://schemas.openxmlformats.org/officeDocument/2006/custom-properties" xmlns:vt="http://schemas.openxmlformats.org/officeDocument/2006/docPropsVTypes"/>
</file>