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D4AF37"/>
          <w:sz w:val="18"/>
          <w:szCs w:val="18"/>
        </w:rPr>
        <w:t xml:space="preserve">ACADEMIA FC + IA · Semana 5</w:t>
      </w:r>
    </w:p>
    <w:p>
      <w:pPr>
        <w:pStyle w:val="Title"/>
        <w:spacing w:after="40"/>
      </w:pPr>
      <w:r>
        <w:t xml:space="preserve">Ítem 3. GAO: cómo los costos fijos amplifican el EBIT</w:t>
      </w:r>
    </w:p>
    <w:p>
      <w:pPr>
        <w:spacing w:after="40"/>
      </w:pPr>
      <w:r>
        <w:rPr>
          <w:i/>
          <w:iCs/>
          <w:color w:val="555555"/>
          <w:sz w:val="22"/>
          <w:szCs w:val="22"/>
        </w:rPr>
        <w:t xml:space="preserve">Grado de Apalancamiento Operativo y el riesgo del negocio</w:t>
      </w:r>
    </w:p>
    <w:p>
      <w:pPr>
        <w:spacing w:after="160"/>
      </w:pPr>
      <w:r>
        <w:rPr>
          <w:b/>
          <w:bCs/>
          <w:color w:val="94741F"/>
          <w:sz w:val="18"/>
          <w:szCs w:val="18"/>
        </w:rPr>
        <w:t xml:space="preserve">Marco: GAO · value-generation-emerging-markets</w:t>
      </w:r>
    </w:p>
    <w:p>
      <w:pPr>
        <w:pStyle w:val="Heading2"/>
        <w:spacing w:after="100" w:before="220"/>
      </w:pPr>
      <w:r>
        <w:t xml:space="preserve">La palanca de los costos fijos</w:t>
      </w:r>
    </w:p>
    <w:p>
      <w:pPr>
        <w:spacing w:after="140" w:line="276"/>
      </w:pPr>
      <w:r>
        <w:t xml:space="preserve">El </w:t>
      </w:r>
      <w:r>
        <w:rPr>
          <w:b/>
          <w:bCs/>
        </w:rPr>
        <w:t xml:space="preserve">Grado de Apalancamiento Operativo (GAO)</w:t>
      </w:r>
      <w:r>
        <w:t xml:space="preserve"> mide cuánto se amplifica el </w:t>
      </w:r>
      <w:r>
        <w:rPr>
          <w:b/>
          <w:bCs/>
        </w:rPr>
        <w:t xml:space="preserve">EBIT</w:t>
      </w:r>
      <w:r>
        <w:t xml:space="preserve"> ante un cambio en las </w:t>
      </w:r>
      <w:r>
        <w:rPr>
          <w:b/>
          <w:bCs/>
        </w:rPr>
        <w:t xml:space="preserve">ventas</w:t>
      </w:r>
      <w:r>
        <w:t xml:space="preserve">. Es la elasticidad del resultado operativo: GAO = Δ%EBIT / Δ%Ventas. Si el GAO es 3, una suba de ventas del 10% hace subir el EBIT un 30%… pero una caída del 10% lo hunde otro 30%. La palanca amplifica en las dos direcciones.</w:t>
      </w:r>
    </w:p>
    <w:p>
      <w:pPr>
        <w:spacing w:after="140" w:line="276"/>
      </w:pPr>
      <w:r>
        <w:t xml:space="preserve">El motor de esa amplificación son los </w:t>
      </w:r>
      <w:r>
        <w:rPr>
          <w:b/>
          <w:bCs/>
        </w:rPr>
        <w:t xml:space="preserve">costos fijos operativos</w:t>
      </w:r>
      <w:r>
        <w:t xml:space="preserve">: la planta, la estructura, los sueldos del personal no productivo. Cuanto mayor es la proporción de costos fijos sobre el total, más se amplifican las variaciones de ventas en el EBIT, porque esos costos no bajan cuando las ventas caen. La fórmula operativa lo muestra: </w:t>
      </w:r>
      <w:r>
        <w:rPr>
          <w:b/>
          <w:bCs/>
        </w:rPr>
        <w:t xml:space="preserve">GAO = Margen de Contribución / EBIT = (Ventas − Costos Variables) / EBIT</w:t>
      </w:r>
      <w:r>
        <w:t xml:space="preserve">.</w:t>
      </w:r>
    </w:p>
    <w:p>
      <w:pPr>
        <w:spacing w:after="140" w:line="276"/>
      </w:pPr>
      <w:r>
        <w:t xml:space="preserve">El GAO es la medida del </w:t>
      </w:r>
      <w:r>
        <w:rPr>
          <w:b/>
          <w:bCs/>
        </w:rPr>
        <w:t xml:space="preserve">riesgo operativo</w:t>
      </w:r>
      <w:r>
        <w:t xml:space="preserve"> o </w:t>
      </w:r>
      <w:r>
        <w:rPr>
          <w:b/>
          <w:bCs/>
        </w:rPr>
        <w:t xml:space="preserve">riesgo del negocio</w:t>
      </w:r>
      <w:r>
        <w:t xml:space="preserve">: cuán expuesto está el resultado a los vaivenes de la demanda. Una empresa intensiva en capital fijo (como Andina, con su planta metalmecánica) tiene GAO alto y es más vulnerable a las recesiones; un negocio con costos mayormente variables amortigua mejor las caídas.</w:t>
      </w:r>
    </w:p>
    <w:p>
      <w:pPr>
        <w:pStyle w:val="Heading2"/>
        <w:spacing w:after="100" w:before="220"/>
      </w:pPr>
      <w:r>
        <w:t xml:space="preserve">De dónde sale cada número</w:t>
      </w:r>
    </w:p>
    <w:p>
      <w:pPr>
        <w:spacing w:after="140" w:line="276"/>
      </w:pPr>
      <w:r>
        <w:t xml:space="preserve">El </w:t>
      </w:r>
      <w:r>
        <w:rPr>
          <w:b/>
          <w:bCs/>
        </w:rPr>
        <w:t xml:space="preserve">Margen de Contribución</w:t>
      </w:r>
      <w:r>
        <w:t xml:space="preserve"> es Ventas menos Costos Variables (lo que varía con el volumen: materia prima, mano de obra directa, comisiones). El </w:t>
      </w:r>
      <w:r>
        <w:rPr>
          <w:b/>
          <w:bCs/>
        </w:rPr>
        <w:t xml:space="preserve">EBIT</w:t>
      </w:r>
      <w:r>
        <w:t xml:space="preserve"> es el Margen de Contribución menos los Costos Fijos operativos. La diferencia entre ambos —los costos fijos— es justamente lo que genera la palanca: a más costos fijos, mayor distancia entre margen de contribución y EBIT, y mayor GAO.</w:t>
      </w:r>
    </w:p>
    <w:p>
      <w:pPr>
        <w:spacing w:after="140" w:line="276"/>
      </w:pPr>
      <w:r>
        <w:t xml:space="preserve">En Andina, con ventas de 8200 y un EBIT de 830, hay que estimar qué parte del CMV y de los gastos es fija. Cuanto más alta sea esa porción fija, más alto el GAO y más sensible el EBIT a una caída de ventas. Moverlo en el simulador muestra cómo la estructura de costos define el perfil de riesgo del negocio antes de hablar de deuda.</w:t>
      </w:r>
    </w:p>
    <w:p>
      <w:pPr>
        <w:pStyle w:val="Heading2"/>
        <w:spacing w:after="100" w:before="220"/>
      </w:pPr>
      <w:r>
        <w:t xml:space="preserve">Interrelación: GAO, GAF y el doble apalancamiento</w:t>
      </w:r>
    </w:p>
    <w:p>
      <w:pPr>
        <w:spacing w:after="140" w:line="276"/>
      </w:pPr>
      <w:r>
        <w:t xml:space="preserve">El GAO no se lee solo: se combina con el </w:t>
      </w:r>
      <w:r>
        <w:rPr>
          <w:b/>
          <w:bCs/>
        </w:rPr>
        <w:t xml:space="preserve">GAF</w:t>
      </w:r>
      <w:r>
        <w:t xml:space="preserve"> (ítem 4) para formar el </w:t>
      </w:r>
      <w:r>
        <w:rPr>
          <w:b/>
          <w:bCs/>
        </w:rPr>
        <w:t xml:space="preserve">GAT</w:t>
      </w:r>
      <w:r>
        <w:t xml:space="preserve"> (ítem 5). La regla de oro de la gestión de riesgo dice: si tenés </w:t>
      </w:r>
      <w:r>
        <w:rPr>
          <w:b/>
          <w:bCs/>
        </w:rPr>
        <w:t xml:space="preserve">alto GAO</w:t>
      </w:r>
      <w:r>
        <w:t xml:space="preserve"> (negocio muy expuesto a costos fijos), conviene mantener </w:t>
      </w:r>
      <w:r>
        <w:rPr>
          <w:b/>
          <w:bCs/>
        </w:rPr>
        <w:t xml:space="preserve">bajo GAF</w:t>
      </w:r>
      <w:r>
        <w:t xml:space="preserve"> (poca deuda), y viceversa. Acumular alto GAO con alto GAF es el temido </w:t>
      </w:r>
      <w:r>
        <w:rPr>
          <w:b/>
          <w:bCs/>
        </w:rPr>
        <w:t xml:space="preserve">doble apalancamiento</w:t>
      </w:r>
      <w:r>
        <w:t xml:space="preserve">, destructor de empresas en las recesiones de los mercados emergentes.</w:t>
      </w:r>
    </w:p>
    <w:p>
      <w:pPr>
        <w:spacing w:after="140" w:line="276"/>
      </w:pPr>
      <w:r>
        <w:rPr>
          <w:b/>
          <w:bCs/>
        </w:rPr>
        <w:t xml:space="preserve">Interrelación clave:</w:t>
      </w:r>
      <w:r>
        <w:t xml:space="preserve"> el GAO conecta con el </w:t>
      </w:r>
      <w:r>
        <w:rPr>
          <w:b/>
          <w:bCs/>
        </w:rPr>
        <w:t xml:space="preserve">punto de equilibrio</w:t>
      </w:r>
      <w:r>
        <w:t xml:space="preserve"> (a más costos fijos, más ventas se necesitan para no perder) y, vía el riesgo, con el </w:t>
      </w:r>
      <w:r>
        <w:rPr>
          <w:b/>
          <w:bCs/>
        </w:rPr>
        <w:t xml:space="preserve">WACC</w:t>
      </w:r>
      <w:r>
        <w:t xml:space="preserve">: un negocio operativamente riesgoso tiene beta más alta y exige más retorno. Decisiones como tercerizar producción (bajar fijos) o invertir en planta (subir fijos) cambian el GAO y, con él, todo el perfil de riesgo-retorno de la firma.</w:t>
      </w:r>
    </w:p>
    <w:p>
      <w:pPr>
        <w:pStyle w:val="Heading2"/>
        <w:spacing w:after="100" w:before="220"/>
      </w:pPr>
      <w:r>
        <w:t xml:space="preserve">El modelo: variables y fórmulas</w:t>
      </w:r>
    </w:p>
    <w:tbl>
      <w:tblPr>
        <w:tblW w:type="pct" w:w="100%"/>
        <w:tblBorders>
          <w:top w:val="single" w:color="CCCCCC" w:sz="4"/>
          <w:left w:val="single" w:color="CCCCCC" w:sz="4"/>
          <w:bottom w:val="single" w:color="CCCCCC" w:sz="4"/>
          <w:right w:val="single" w:color="CCCCCC" w:sz="4"/>
          <w:insideH w:val="single" w:color="CCCCCC" w:sz="4"/>
          <w:insideV w:val="single" w:color="CCCCCC" w:sz="4"/>
        </w:tblBorders>
      </w:tblPr>
      <w:tblGrid>
        <w:gridCol w:w="100"/>
        <w:gridCol w:w="100"/>
      </w:tblGrid>
      <w:tr>
        <w:trPr>
          <w:tblHeader/>
        </w:trPr>
        <w:tc>
          <w:tcPr>
            <w:shd w:fill="0B1120" w:color="0B1120" w:val="solid"/>
          </w:tcPr>
          <w:p>
            <w:r>
              <w:rPr>
                <w:b/>
                <w:bCs/>
                <w:color w:val="FFFFFF"/>
                <w:sz w:val="18"/>
                <w:szCs w:val="18"/>
              </w:rPr>
              <w:t xml:space="preserve">Variable de entrada</w:t>
            </w:r>
          </w:p>
        </w:tc>
        <w:tc>
          <w:tcPr>
            <w:shd w:fill="0B1120" w:color="0B1120" w:val="solid"/>
          </w:tcPr>
          <w:p>
            <w:r>
              <w:rPr>
                <w:b/>
                <w:bCs/>
                <w:color w:val="FFFFFF"/>
                <w:sz w:val="18"/>
                <w:szCs w:val="18"/>
              </w:rPr>
              <w:t xml:space="preserve">Valor base</w:t>
            </w:r>
          </w:p>
        </w:tc>
      </w:tr>
      <w:tr>
        <w:tc>
          <w:p>
            <w:pPr>
              <w:jc w:val="left"/>
            </w:pPr>
            <w:r>
              <w:rPr>
                <w:sz w:val="18"/>
                <w:szCs w:val="18"/>
              </w:rPr>
              <w:t xml:space="preserve">Ventas netas</w:t>
            </w:r>
          </w:p>
        </w:tc>
        <w:tc>
          <w:p>
            <w:pPr>
              <w:jc w:val="right"/>
            </w:pPr>
            <w:r>
              <w:rPr>
                <w:sz w:val="18"/>
                <w:szCs w:val="18"/>
              </w:rPr>
              <w:t xml:space="preserve">8200</w:t>
            </w:r>
          </w:p>
        </w:tc>
      </w:tr>
      <w:tr>
        <w:tc>
          <w:p>
            <w:pPr>
              <w:jc w:val="left"/>
            </w:pPr>
            <w:r>
              <w:rPr>
                <w:sz w:val="18"/>
                <w:szCs w:val="18"/>
              </w:rPr>
              <w:t xml:space="preserve">Costos variables</w:t>
            </w:r>
          </w:p>
        </w:tc>
        <w:tc>
          <w:p>
            <w:pPr>
              <w:jc w:val="right"/>
            </w:pPr>
            <w:r>
              <w:rPr>
                <w:sz w:val="18"/>
                <w:szCs w:val="18"/>
              </w:rPr>
              <w:t xml:space="preserve">5740</w:t>
            </w:r>
          </w:p>
        </w:tc>
      </w:tr>
      <w:tr>
        <w:tc>
          <w:p>
            <w:pPr>
              <w:jc w:val="left"/>
            </w:pPr>
            <w:r>
              <w:rPr>
                <w:sz w:val="18"/>
                <w:szCs w:val="18"/>
              </w:rPr>
              <w:t xml:space="preserve">Costos fijos operativos</w:t>
            </w:r>
          </w:p>
        </w:tc>
        <w:tc>
          <w:p>
            <w:pPr>
              <w:jc w:val="right"/>
            </w:pPr>
            <w:r>
              <w:rPr>
                <w:sz w:val="18"/>
                <w:szCs w:val="18"/>
              </w:rPr>
              <w:t xml:space="preserve">1630</w:t>
            </w:r>
          </w:p>
        </w:tc>
      </w:tr>
      <w:tr>
        <w:tc>
          <w:p>
            <w:pPr>
              <w:jc w:val="left"/>
            </w:pPr>
            <w:r>
              <w:rPr>
                <w:sz w:val="18"/>
                <w:szCs w:val="18"/>
              </w:rPr>
              <w:t xml:space="preserve">Escenario: caída de ventas</w:t>
            </w:r>
          </w:p>
        </w:tc>
        <w:tc>
          <w:p>
            <w:pPr>
              <w:jc w:val="right"/>
            </w:pPr>
            <w:r>
              <w:rPr>
                <w:sz w:val="18"/>
                <w:szCs w:val="18"/>
              </w:rPr>
              <w:t xml:space="preserve">0.1</w:t>
            </w:r>
          </w:p>
        </w:tc>
      </w:tr>
    </w:tbl>
    <w:p>
      <w:pPr>
        <w:spacing w:after="100"/>
      </w:pPr>
    </w:p>
    <w:tbl>
      <w:tblPr>
        <w:tblW w:type="pct" w:w="100%"/>
        <w:tblBorders>
          <w:top w:val="single" w:color="CCCCCC" w:sz="4"/>
          <w:left w:val="single" w:color="CCCCCC" w:sz="4"/>
          <w:bottom w:val="single" w:color="CCCCCC" w:sz="4"/>
          <w:right w:val="single" w:color="CCCCCC" w:sz="4"/>
          <w:insideH w:val="single" w:color="CCCCCC" w:sz="4"/>
          <w:insideV w:val="single" w:color="CCCCCC" w:sz="4"/>
        </w:tblBorders>
      </w:tblPr>
      <w:tblGrid>
        <w:gridCol w:w="100"/>
        <w:gridCol w:w="100"/>
      </w:tblGrid>
      <w:tr>
        <w:trPr>
          <w:tblHeader/>
        </w:trPr>
        <w:tc>
          <w:tcPr>
            <w:shd w:fill="0B1120" w:color="0B1120" w:val="solid"/>
          </w:tcPr>
          <w:p>
            <w:r>
              <w:rPr>
                <w:b/>
                <w:bCs/>
                <w:color w:val="FFFFFF"/>
                <w:sz w:val="18"/>
                <w:szCs w:val="18"/>
              </w:rPr>
              <w:t xml:space="preserve">Indicador calculado</w:t>
            </w:r>
          </w:p>
        </w:tc>
        <w:tc>
          <w:tcPr>
            <w:shd w:fill="0B1120" w:color="0B1120" w:val="solid"/>
          </w:tcPr>
          <w:p>
            <w:r>
              <w:rPr>
                <w:b/>
                <w:bCs/>
                <w:color w:val="FFFFFF"/>
                <w:sz w:val="18"/>
                <w:szCs w:val="18"/>
              </w:rPr>
              <w:t xml:space="preserve">Fórmula</w:t>
            </w:r>
          </w:p>
        </w:tc>
      </w:tr>
      <w:tr>
        <w:tc>
          <w:p>
            <w:pPr>
              <w:jc w:val="left"/>
            </w:pPr>
            <w:r>
              <w:rPr>
                <w:sz w:val="18"/>
                <w:szCs w:val="18"/>
              </w:rPr>
              <w:t xml:space="preserve">Margen de contribución (V − CV)</w:t>
            </w:r>
          </w:p>
        </w:tc>
        <w:tc>
          <w:p>
            <w:pPr>
              <w:jc w:val="right"/>
            </w:pPr>
            <w:r>
              <w:rPr>
                <w:sz w:val="18"/>
                <w:szCs w:val="18"/>
              </w:rPr>
              <w:t xml:space="preserve">ventas-cv</w:t>
            </w:r>
          </w:p>
        </w:tc>
      </w:tr>
      <w:tr>
        <w:tc>
          <w:p>
            <w:pPr>
              <w:jc w:val="left"/>
            </w:pPr>
            <w:r>
              <w:rPr>
                <w:sz w:val="18"/>
                <w:szCs w:val="18"/>
              </w:rPr>
              <w:t xml:space="preserve">EBIT (MC − CF)</w:t>
            </w:r>
          </w:p>
        </w:tc>
        <w:tc>
          <w:p>
            <w:pPr>
              <w:jc w:val="right"/>
            </w:pPr>
            <w:r>
              <w:rPr>
                <w:sz w:val="18"/>
                <w:szCs w:val="18"/>
              </w:rPr>
              <w:t xml:space="preserve">mc-cf</w:t>
            </w:r>
          </w:p>
        </w:tc>
      </w:tr>
      <w:tr>
        <w:tc>
          <w:p>
            <w:pPr>
              <w:jc w:val="left"/>
            </w:pPr>
            <w:r>
              <w:rPr>
                <w:sz w:val="18"/>
                <w:szCs w:val="18"/>
              </w:rPr>
              <w:t xml:space="preserve">GAO (MC / EBIT)</w:t>
            </w:r>
          </w:p>
        </w:tc>
        <w:tc>
          <w:p>
            <w:pPr>
              <w:jc w:val="right"/>
            </w:pPr>
            <w:r>
              <w:rPr>
                <w:sz w:val="18"/>
                <w:szCs w:val="18"/>
              </w:rPr>
              <w:t xml:space="preserve">mc/ebit</w:t>
            </w:r>
          </w:p>
        </w:tc>
      </w:tr>
      <w:tr>
        <w:tc>
          <w:p>
            <w:pPr>
              <w:jc w:val="left"/>
            </w:pPr>
            <w:r>
              <w:rPr>
                <w:sz w:val="18"/>
                <w:szCs w:val="18"/>
              </w:rPr>
              <w:t xml:space="preserve">Caída del EBIT en el escenario</w:t>
            </w:r>
          </w:p>
        </w:tc>
        <w:tc>
          <w:p>
            <w:pPr>
              <w:jc w:val="right"/>
            </w:pPr>
            <w:r>
              <w:rPr>
                <w:sz w:val="18"/>
                <w:szCs w:val="18"/>
              </w:rPr>
              <w:t xml:space="preserve">gao*caidaVentas</w:t>
            </w:r>
          </w:p>
        </w:tc>
      </w:tr>
    </w:tbl>
    <w:p>
      <w:pPr>
        <w:spacing w:before="160"/>
      </w:pPr>
      <w:r>
        <w:t xml:space="preserve">Abrí el </w:t>
      </w:r>
      <w:r>
        <w:rPr>
          <w:b/>
          <w:bCs/>
        </w:rPr>
        <w:t xml:space="preserve">modelo interactivo</w:t>
      </w:r>
      <w:r>
        <w:t xml:space="preserve"> de este ítem en la plataforma para mover las variables en vivo, y usá el Excel para construir tu propio caso con matrices dinámicas.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rPr>
      <w:b/>
      <w:bCs/>
      <w:color w:val="0B1120"/>
      <w:sz w:val="36"/>
      <w:szCs w:val="36"/>
    </w:rPr>
  </w:style>
  <w:style w:type="paragraph" w:styleId="Heading2">
    <w:name w:val="Heading 2"/>
    <w:pPr>
      <w:spacing w:after="100" w:before="200"/>
    </w:pPr>
    <w:rPr>
      <w:b/>
      <w:bCs/>
      <w:color w:val="94741F"/>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2026-06-24T11:50:52.364Z</dcterms:created>
  <dcterms:modified xsi:type="dcterms:W3CDTF">2026-06-24T11:50:52.364Z</dcterms:modified>
</cp:coreProperties>
</file>

<file path=docProps/custom.xml><?xml version="1.0" encoding="utf-8"?>
<Properties xmlns="http://schemas.openxmlformats.org/officeDocument/2006/custom-properties" xmlns:vt="http://schemas.openxmlformats.org/officeDocument/2006/docPropsVTypes"/>
</file>