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5</w:t>
      </w:r>
    </w:p>
    <w:p>
      <w:pPr>
        <w:pStyle w:val="Title"/>
        <w:spacing w:after="40"/>
      </w:pPr>
      <w:r>
        <w:t xml:space="preserve">Ítem 5. GAT: el apalancamiento total y el punto de inflexión</w:t>
      </w:r>
    </w:p>
    <w:p>
      <w:pPr>
        <w:spacing w:after="40"/>
      </w:pPr>
      <w:r>
        <w:rPr>
          <w:i/>
          <w:iCs/>
          <w:color w:val="555555"/>
          <w:sz w:val="22"/>
          <w:szCs w:val="22"/>
        </w:rPr>
        <w:t xml:space="preserve">GAO × GAF y la caída exponencial cuando se acumula riesgo</w:t>
      </w:r>
    </w:p>
    <w:p>
      <w:pPr>
        <w:spacing w:after="160"/>
      </w:pPr>
      <w:r>
        <w:rPr>
          <w:b/>
          <w:bCs/>
          <w:color w:val="94741F"/>
          <w:sz w:val="18"/>
          <w:szCs w:val="18"/>
        </w:rPr>
        <w:t xml:space="preserve">Marco: GAT · value-driver-interrelations</w:t>
      </w:r>
    </w:p>
    <w:p>
      <w:pPr>
        <w:pStyle w:val="Heading2"/>
        <w:spacing w:after="100" w:before="220"/>
      </w:pPr>
      <w:r>
        <w:t xml:space="preserve">Las dos palancas en serie</w:t>
      </w:r>
    </w:p>
    <w:p>
      <w:pPr>
        <w:spacing w:after="140" w:line="276"/>
      </w:pPr>
      <w:r>
        <w:t xml:space="preserve">El </w:t>
      </w:r>
      <w:r>
        <w:rPr>
          <w:b/>
          <w:bCs/>
        </w:rPr>
        <w:t xml:space="preserve">Grado de Apalancamiento Total (GAT)</w:t>
      </w:r>
      <w:r>
        <w:t xml:space="preserve"> es el producto de las dos palancas anteriores: </w:t>
      </w:r>
      <w:r>
        <w:rPr>
          <w:b/>
          <w:bCs/>
        </w:rPr>
        <w:t xml:space="preserve">GAT = GAO × GAF</w:t>
      </w:r>
      <w:r>
        <w:t xml:space="preserve">. Mide cuánto se amplifica la </w:t>
      </w:r>
      <w:r>
        <w:rPr>
          <w:b/>
          <w:bCs/>
        </w:rPr>
        <w:t xml:space="preserve">utilidad del accionista</w:t>
      </w:r>
      <w:r>
        <w:t xml:space="preserve"> ante un cambio en las </w:t>
      </w:r>
      <w:r>
        <w:rPr>
          <w:b/>
          <w:bCs/>
        </w:rPr>
        <w:t xml:space="preserve">ventas</w:t>
      </w:r>
      <w:r>
        <w:t xml:space="preserve">, atravesando los dos amplificadores en serie: primero los costos fijos operativos (GAO) llevan el cambio de ventas al EBIT, y luego los intereses (GAF) llevan ese cambio de EBIT a la utilidad neta.</w:t>
      </w:r>
    </w:p>
    <w:p>
      <w:pPr>
        <w:spacing w:after="140" w:line="276"/>
      </w:pPr>
      <w:r>
        <w:t xml:space="preserve">La fórmula compacta es </w:t>
      </w:r>
      <w:r>
        <w:rPr>
          <w:b/>
          <w:bCs/>
        </w:rPr>
        <w:t xml:space="preserve">GAT = Margen de Contribución / (EBIT − Intereses)</w:t>
      </w:r>
      <w:r>
        <w:t xml:space="preserve">. Si el GAT es 4, una caída de ventas del 10% derrumba la utilidad del accionista un 40%. Las dos palancas se </w:t>
      </w:r>
      <w:r>
        <w:rPr>
          <w:b/>
          <w:bCs/>
        </w:rPr>
        <w:t xml:space="preserve">multiplican</w:t>
      </w:r>
      <w:r>
        <w:t xml:space="preserve">, no se suman: por eso la combinación de un negocio con muchos costos fijos y mucha deuda es tan peligrosa. En Andina, con un GAO moderado-alto y un GAF cercano a 3, el GAT se ubica en una zona de alerta.</w:t>
      </w:r>
    </w:p>
    <w:p>
      <w:pPr>
        <w:spacing w:after="140" w:line="276"/>
      </w:pPr>
      <w:r>
        <w:t xml:space="preserve">El punto crucial es que el GAT no crece de forma lineal sino </w:t>
      </w:r>
      <w:r>
        <w:rPr>
          <w:b/>
          <w:bCs/>
        </w:rPr>
        <w:t xml:space="preserve">exponencial</w:t>
      </w:r>
      <w:r>
        <w:t xml:space="preserve"> a medida que el EBIT se acerca a los intereses. Cuando el colchón (EBIT − Intereses) se achica, el GAT se dispara hacia el infinito: es el </w:t>
      </w:r>
      <w:r>
        <w:rPr>
          <w:b/>
          <w:bCs/>
        </w:rPr>
        <w:t xml:space="preserve">punto de inflexión</w:t>
      </w:r>
      <w:r>
        <w:t xml:space="preserve"> donde una pequeña caída de ventas se convierte en una pérdida catastrófica. Cruzar ese umbral es lo que lleva a las empresas de "tensión de caja" a "default" en una sola mala temporada.</w:t>
      </w:r>
    </w:p>
    <w:p>
      <w:pPr>
        <w:pStyle w:val="Heading2"/>
        <w:spacing w:after="100" w:before="220"/>
      </w:pPr>
      <w:r>
        <w:t xml:space="preserve">El doble apalancamiento: la bomba de tiempo</w:t>
      </w:r>
    </w:p>
    <w:p>
      <w:pPr>
        <w:spacing w:after="140" w:line="276"/>
      </w:pPr>
      <w:r>
        <w:t xml:space="preserve">Combinar </w:t>
      </w:r>
      <w:r>
        <w:rPr>
          <w:b/>
          <w:bCs/>
        </w:rPr>
        <w:t xml:space="preserve">alto GAO</w:t>
      </w:r>
      <w:r>
        <w:t xml:space="preserve"> con </w:t>
      </w:r>
      <w:r>
        <w:rPr>
          <w:b/>
          <w:bCs/>
        </w:rPr>
        <w:t xml:space="preserve">alto GAF</w:t>
      </w:r>
      <w:r>
        <w:t xml:space="preserve"> es el </w:t>
      </w:r>
      <w:r>
        <w:rPr>
          <w:b/>
          <w:bCs/>
        </w:rPr>
        <w:t xml:space="preserve">doble apalancamiento</w:t>
      </w:r>
      <w:r>
        <w:t xml:space="preserve">: el destructor de empresas en las recesiones de los mercados emergentes. En la expansión todo luce bien —las dos palancas amplifican las ganancias—, pero cuando las ventas caen, los costos fijos hunden el EBIT y los intereses fijos rematan la utilidad. La empresa que parecía sólida se desploma exponencialmente.</w:t>
      </w:r>
    </w:p>
    <w:p>
      <w:pPr>
        <w:spacing w:after="140" w:line="276"/>
      </w:pPr>
      <w:r>
        <w:t xml:space="preserve">La regla de gestión de riesgo es clara: </w:t>
      </w:r>
      <w:r>
        <w:rPr>
          <w:b/>
          <w:bCs/>
        </w:rPr>
        <w:t xml:space="preserve">no acumular riesgo en los dos ejes a la vez</w:t>
      </w:r>
      <w:r>
        <w:t xml:space="preserve">. Si el negocio es intensivo en costos fijos (alto GAO), hay que financiarse con poca deuda (bajo GAF). Si se va a tomar mucha deuda (alto GAF), conviene tener una estructura de costos flexible (bajo GAO). Andina viola esta regla: tiene planta pesada y deuda cara al mismo tiempo.</w:t>
      </w:r>
    </w:p>
    <w:p>
      <w:pPr>
        <w:pStyle w:val="Heading2"/>
        <w:spacing w:after="100" w:before="220"/>
      </w:pPr>
      <w:r>
        <w:t xml:space="preserve">Interrelación: GAT, riesgo integrado y valor</w:t>
      </w:r>
    </w:p>
    <w:p>
      <w:pPr>
        <w:spacing w:after="140" w:line="276"/>
      </w:pPr>
      <w:r>
        <w:t xml:space="preserve">El GAT es el corazón del </w:t>
      </w:r>
      <w:r>
        <w:rPr>
          <w:b/>
          <w:bCs/>
        </w:rPr>
        <w:t xml:space="preserve">eje de riesgo</w:t>
      </w:r>
      <w:r>
        <w:t xml:space="preserve"> integrado, que se completa con el </w:t>
      </w:r>
      <w:r>
        <w:rPr>
          <w:b/>
          <w:bCs/>
        </w:rPr>
        <w:t xml:space="preserve">punto de equilibrio</w:t>
      </w:r>
      <w:r>
        <w:t xml:space="preserve"> (cuánto colchón hay sobre las ventas mínimas) y el </w:t>
      </w:r>
      <w:r>
        <w:rPr>
          <w:b/>
          <w:bCs/>
        </w:rPr>
        <w:t xml:space="preserve">Altman Z′′</w:t>
      </w:r>
      <w:r>
        <w:t xml:space="preserve"> (la probabilidad de distress). Un GAT alto, con ventas cerca del breakeven y un Z′′ en zona gris, es una </w:t>
      </w:r>
      <w:r>
        <w:rPr>
          <w:b/>
          <w:bCs/>
        </w:rPr>
        <w:t xml:space="preserve">bomba de tiempo</w:t>
      </w:r>
      <w:r>
        <w:t xml:space="preserve">: cualquier shock externo —típico en LatAm— la detona.</w:t>
      </w:r>
    </w:p>
    <w:p>
      <w:pPr>
        <w:spacing w:after="140" w:line="276"/>
      </w:pPr>
      <w:r>
        <w:rPr>
          <w:b/>
          <w:bCs/>
        </w:rPr>
        <w:t xml:space="preserve">Interrelación clave:</w:t>
      </w:r>
      <w:r>
        <w:t xml:space="preserve"> el eje de riesgo (GAT) se lee </w:t>
      </w:r>
      <w:r>
        <w:rPr>
          <w:b/>
          <w:bCs/>
        </w:rPr>
        <w:t xml:space="preserve">en paralelo</w:t>
      </w:r>
      <w:r>
        <w:t xml:space="preserve"> al eje de valor (ROIC − WACC), nunca confundido con él. Una empresa puede no quebrar y aun así destruir valor; y otra puede crear valor pero con un GAT tan alto que un mal trimestre la liquide. El análisis financiero de esta semana —liquidez, solvencia, GAO, GAF, GAT— construye el mapa de riesgo sobre el que, en las semanas siguientes, se monta el análisis económico de creación de valor.</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Margen de contribución (V − CV)</w:t>
            </w:r>
          </w:p>
        </w:tc>
        <w:tc>
          <w:p>
            <w:pPr>
              <w:jc w:val="right"/>
            </w:pPr>
            <w:r>
              <w:rPr>
                <w:sz w:val="18"/>
                <w:szCs w:val="18"/>
              </w:rPr>
              <w:t xml:space="preserve">2460</w:t>
            </w:r>
          </w:p>
        </w:tc>
      </w:tr>
      <w:tr>
        <w:tc>
          <w:p>
            <w:pPr>
              <w:jc w:val="left"/>
            </w:pPr>
            <w:r>
              <w:rPr>
                <w:sz w:val="18"/>
                <w:szCs w:val="18"/>
              </w:rPr>
              <w:t xml:space="preserve">Costos fijos operativos</w:t>
            </w:r>
          </w:p>
        </w:tc>
        <w:tc>
          <w:p>
            <w:pPr>
              <w:jc w:val="right"/>
            </w:pPr>
            <w:r>
              <w:rPr>
                <w:sz w:val="18"/>
                <w:szCs w:val="18"/>
              </w:rPr>
              <w:t xml:space="preserve">1630</w:t>
            </w:r>
          </w:p>
        </w:tc>
      </w:tr>
      <w:tr>
        <w:tc>
          <w:p>
            <w:pPr>
              <w:jc w:val="left"/>
            </w:pPr>
            <w:r>
              <w:rPr>
                <w:sz w:val="18"/>
                <w:szCs w:val="18"/>
              </w:rPr>
              <w:t xml:space="preserve">Intereses</w:t>
            </w:r>
          </w:p>
        </w:tc>
        <w:tc>
          <w:p>
            <w:pPr>
              <w:jc w:val="right"/>
            </w:pPr>
            <w:r>
              <w:rPr>
                <w:sz w:val="18"/>
                <w:szCs w:val="18"/>
              </w:rPr>
              <w:t xml:space="preserve">560</w:t>
            </w:r>
          </w:p>
        </w:tc>
      </w:tr>
      <w:tr>
        <w:tc>
          <w:p>
            <w:pPr>
              <w:jc w:val="left"/>
            </w:pPr>
            <w:r>
              <w:rPr>
                <w:sz w:val="18"/>
                <w:szCs w:val="18"/>
              </w:rPr>
              <w:t xml:space="preserve">Escenario: caída de ventas</w:t>
            </w:r>
          </w:p>
        </w:tc>
        <w:tc>
          <w:p>
            <w:pPr>
              <w:jc w:val="right"/>
            </w:pPr>
            <w:r>
              <w:rPr>
                <w:sz w:val="18"/>
                <w:szCs w:val="18"/>
              </w:rPr>
              <w:t xml:space="preserve">0.1</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EBIT (MC − CF)</w:t>
            </w:r>
          </w:p>
        </w:tc>
        <w:tc>
          <w:p>
            <w:pPr>
              <w:jc w:val="right"/>
            </w:pPr>
            <w:r>
              <w:rPr>
                <w:sz w:val="18"/>
                <w:szCs w:val="18"/>
              </w:rPr>
              <w:t xml:space="preserve">mc-cf</w:t>
            </w:r>
          </w:p>
        </w:tc>
      </w:tr>
      <w:tr>
        <w:tc>
          <w:p>
            <w:pPr>
              <w:jc w:val="left"/>
            </w:pPr>
            <w:r>
              <w:rPr>
                <w:sz w:val="18"/>
                <w:szCs w:val="18"/>
              </w:rPr>
              <w:t xml:space="preserve">GAO (MC / EBIT)</w:t>
            </w:r>
          </w:p>
        </w:tc>
        <w:tc>
          <w:p>
            <w:pPr>
              <w:jc w:val="right"/>
            </w:pPr>
            <w:r>
              <w:rPr>
                <w:sz w:val="18"/>
                <w:szCs w:val="18"/>
              </w:rPr>
              <w:t xml:space="preserve">mc/ebit</w:t>
            </w:r>
          </w:p>
        </w:tc>
      </w:tr>
      <w:tr>
        <w:tc>
          <w:p>
            <w:pPr>
              <w:jc w:val="left"/>
            </w:pPr>
            <w:r>
              <w:rPr>
                <w:sz w:val="18"/>
                <w:szCs w:val="18"/>
              </w:rPr>
              <w:t xml:space="preserve">GAF (EBIT / (EBIT − Int.))</w:t>
            </w:r>
          </w:p>
        </w:tc>
        <w:tc>
          <w:p>
            <w:pPr>
              <w:jc w:val="right"/>
            </w:pPr>
            <w:r>
              <w:rPr>
                <w:sz w:val="18"/>
                <w:szCs w:val="18"/>
              </w:rPr>
              <w:t xml:space="preserve">ebit/(ebit-intereses)</w:t>
            </w:r>
          </w:p>
        </w:tc>
      </w:tr>
      <w:tr>
        <w:tc>
          <w:p>
            <w:pPr>
              <w:jc w:val="left"/>
            </w:pPr>
            <w:r>
              <w:rPr>
                <w:sz w:val="18"/>
                <w:szCs w:val="18"/>
              </w:rPr>
              <w:t xml:space="preserve">GAT (GAO × GAF)</w:t>
            </w:r>
          </w:p>
        </w:tc>
        <w:tc>
          <w:p>
            <w:pPr>
              <w:jc w:val="right"/>
            </w:pPr>
            <w:r>
              <w:rPr>
                <w:sz w:val="18"/>
                <w:szCs w:val="18"/>
              </w:rPr>
              <w:t xml:space="preserve">mc/(ebit-intereses)</w:t>
            </w:r>
          </w:p>
        </w:tc>
      </w:tr>
      <w:tr>
        <w:tc>
          <w:p>
            <w:pPr>
              <w:jc w:val="left"/>
            </w:pPr>
            <w:r>
              <w:rPr>
                <w:sz w:val="18"/>
                <w:szCs w:val="18"/>
              </w:rPr>
              <w:t xml:space="preserve">Caída de la utilidad en el escenario</w:t>
            </w:r>
          </w:p>
        </w:tc>
        <w:tc>
          <w:p>
            <w:pPr>
              <w:jc w:val="right"/>
            </w:pPr>
            <w:r>
              <w:rPr>
                <w:sz w:val="18"/>
                <w:szCs w:val="18"/>
              </w:rPr>
              <w:t xml:space="preserve">gat*caidaVentas</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2026-06-24T11:50:52.397Z</dcterms:created>
  <dcterms:modified xsi:type="dcterms:W3CDTF">2026-06-24T11:50:52.397Z</dcterms:modified>
</cp:coreProperties>
</file>

<file path=docProps/custom.xml><?xml version="1.0" encoding="utf-8"?>
<Properties xmlns="http://schemas.openxmlformats.org/officeDocument/2006/custom-properties" xmlns:vt="http://schemas.openxmlformats.org/officeDocument/2006/docPropsVTypes"/>
</file>