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6</w:t>
      </w:r>
    </w:p>
    <w:p>
      <w:pPr>
        <w:pStyle w:val="Title"/>
        <w:spacing w:after="40"/>
      </w:pPr>
      <w:r>
        <w:t xml:space="preserve">Ítem 2. FCFE: el flujo del accionista</w:t>
      </w:r>
    </w:p>
    <w:p>
      <w:pPr>
        <w:spacing w:after="40"/>
      </w:pPr>
      <w:r>
        <w:rPr>
          <w:i/>
          <w:iCs/>
          <w:color w:val="555555"/>
          <w:sz w:val="22"/>
          <w:szCs w:val="22"/>
        </w:rPr>
        <w:t xml:space="preserve">Lo que queda para el dueño después de pagar la deuda</w:t>
      </w:r>
    </w:p>
    <w:p>
      <w:pPr>
        <w:spacing w:after="160"/>
      </w:pPr>
      <w:r>
        <w:rPr>
          <w:b/>
          <w:bCs/>
          <w:color w:val="94741F"/>
          <w:sz w:val="18"/>
          <w:szCs w:val="18"/>
        </w:rPr>
        <w:t xml:space="preserve">Marco: FCFE · value-driver-interrelations</w:t>
      </w:r>
    </w:p>
    <w:p>
      <w:pPr>
        <w:pStyle w:val="Heading2"/>
        <w:spacing w:after="100" w:before="220"/>
      </w:pPr>
      <w:r>
        <w:t xml:space="preserve">La caja que llega al bolsillo del dueño</w:t>
      </w:r>
    </w:p>
    <w:p>
      <w:pPr>
        <w:spacing w:after="140" w:line="276"/>
      </w:pPr>
      <w:r>
        <w:t xml:space="preserve">El </w:t>
      </w:r>
      <w:r>
        <w:rPr>
          <w:b/>
          <w:bCs/>
        </w:rPr>
        <w:t xml:space="preserve">Free Cash Flow to Equity (FCFE)</w:t>
      </w:r>
      <w:r>
        <w:t xml:space="preserve"> es la caja que queda </w:t>
      </w:r>
      <w:r>
        <w:rPr>
          <w:b/>
          <w:bCs/>
        </w:rPr>
        <w:t xml:space="preserve">para el accionista</w:t>
      </w:r>
      <w:r>
        <w:t xml:space="preserve"> después de que la empresa pagó los intereses a los acreedores y movió su deuda (tomó nueva o amortizó la vieja). Es el flujo que efectivamente puede distribuirse como dividendos sin descapitalizar la empresa. Descontado al </w:t>
      </w:r>
      <w:r>
        <w:rPr>
          <w:b/>
          <w:bCs/>
        </w:rPr>
        <w:t xml:space="preserve">costo del equity (Ke)</w:t>
      </w:r>
      <w:r>
        <w:t xml:space="preserve">, da el </w:t>
      </w:r>
      <w:r>
        <w:rPr>
          <w:b/>
          <w:bCs/>
        </w:rPr>
        <w:t xml:space="preserve">Equity Value</w:t>
      </w:r>
      <w:r>
        <w:t xml:space="preserve"> (el valor del patrimonio) de la Semana 12.</w:t>
      </w:r>
    </w:p>
    <w:p>
      <w:pPr>
        <w:spacing w:after="140" w:line="276"/>
      </w:pPr>
      <w:r>
        <w:t xml:space="preserve">Se construye partiendo del FCFF y restándole el costo de la deuda neto de impuestos, ajustando por los movimientos de deuda: </w:t>
      </w:r>
      <w:r>
        <w:rPr>
          <w:b/>
          <w:bCs/>
        </w:rPr>
        <w:t xml:space="preserve">FCFE = FCFF − Intereses × (1 − t) + ΔDeuda neta</w:t>
      </w:r>
      <w:r>
        <w:t xml:space="preserve">. La lógica es directa: del flujo total de la firma, los acreedores se llevan los intereses (después del escudo fiscal); si la empresa toma deuda nueva, eso suma caja para el accionista; si amortiza, resta. Una forma equivalente parte de la utilidad neta: </w:t>
      </w:r>
      <w:r>
        <w:rPr>
          <w:b/>
          <w:bCs/>
        </w:rPr>
        <w:t xml:space="preserve">FCFE = Utilidad Neta + Amortizaciones − CAPEX − ΔWC + ΔDeuda neta</w:t>
      </w:r>
      <w:r>
        <w:t xml:space="preserve">.</w:t>
      </w:r>
    </w:p>
    <w:p>
      <w:pPr>
        <w:spacing w:after="140" w:line="276"/>
      </w:pPr>
      <w:r>
        <w:t xml:space="preserve">En Andina el FCFE es todavía más castigado que el FCFF: el FCFF ya era negativo, y encima los intereses de 560 (después del escudo fiscal) se llevan una porción enorme. Lo que llega al dueño es magro o negativo, lo que explica por qué, pese a la "utilidad contable", la empresa no puede sostener dividendos sin recurrir a más descubierto.</w:t>
      </w:r>
    </w:p>
    <w:p>
      <w:pPr>
        <w:pStyle w:val="Heading2"/>
        <w:spacing w:after="100" w:before="220"/>
      </w:pPr>
      <w:r>
        <w:t xml:space="preserve">Las dos formas y por qué deben coincidir</w:t>
      </w:r>
    </w:p>
    <w:p>
      <w:pPr>
        <w:spacing w:after="140" w:line="276"/>
      </w:pPr>
      <w:r>
        <w:t xml:space="preserve">El FCFE admite dos caminos de cálculo —vía FCFF o vía utilidad neta— que </w:t>
      </w:r>
      <w:r>
        <w:rPr>
          <w:b/>
          <w:bCs/>
        </w:rPr>
        <w:t xml:space="preserve">deben dar el mismo número</w:t>
      </w:r>
      <w:r>
        <w:t xml:space="preserve">. Si no coinciden, hay un error de consistencia en el modelo. Esta doble vía es una de las verificaciones clásicas de una valuación bien armada: el camino "de arriba" (desde el flujo de la firma) y el "de abajo" (desde el resultado del accionista) tienen que reconciliar.</w:t>
      </w:r>
    </w:p>
    <w:p>
      <w:pPr>
        <w:spacing w:after="140" w:line="276"/>
      </w:pPr>
      <w:r>
        <w:rPr>
          <w:b/>
          <w:bCs/>
        </w:rPr>
        <w:t xml:space="preserve">Aclaración sobre el escudo fiscal:</w:t>
      </w:r>
      <w:r>
        <w:t xml:space="preserve"> los intereses se restan </w:t>
      </w:r>
      <w:r>
        <w:rPr>
          <w:b/>
          <w:bCs/>
        </w:rPr>
        <w:t xml:space="preserve">después de impuestos</w:t>
      </w:r>
      <w:r>
        <w:t xml:space="preserve"> (× (1 − t)) porque son deducibles: el Estado subsidia parte del costo financiero. Ese mismo escudo fiscal es el que abarata la deuda en el WACC. Por eso el FCFE no se calcula restando los intereses brutos, sino netos del ahorro impositivo que generan.</w:t>
      </w:r>
    </w:p>
    <w:p>
      <w:pPr>
        <w:pStyle w:val="Heading2"/>
        <w:spacing w:after="100" w:before="220"/>
      </w:pPr>
      <w:r>
        <w:t xml:space="preserve">Interrelación: FCFE, Ke y política de dividendos</w:t>
      </w:r>
    </w:p>
    <w:p>
      <w:pPr>
        <w:spacing w:after="140" w:line="276"/>
      </w:pPr>
      <w:r>
        <w:t xml:space="preserve">El FCFE es el puente entre el flujo de la firma y el bolsillo del dueño, y se descuenta al </w:t>
      </w:r>
      <w:r>
        <w:rPr>
          <w:b/>
          <w:bCs/>
        </w:rPr>
        <w:t xml:space="preserve">Ke</w:t>
      </w:r>
      <w:r>
        <w:t xml:space="preserve"> (no al WACC), porque es un flujo que pertenece solo al accionista. El test de consistencia del modelo de valuación es que </w:t>
      </w:r>
      <w:r>
        <w:rPr>
          <w:b/>
          <w:bCs/>
        </w:rPr>
        <w:t xml:space="preserve">Equity Value = Enterprise Value − Deuda neta</w:t>
      </w:r>
      <w:r>
        <w:t xml:space="preserve"> coincida con descontar el FCFE al Ke directamente.</w:t>
      </w:r>
    </w:p>
    <w:p>
      <w:pPr>
        <w:spacing w:after="140" w:line="276"/>
      </w:pPr>
      <w:r>
        <w:rPr>
          <w:b/>
          <w:bCs/>
        </w:rPr>
        <w:t xml:space="preserve">Interrelación clave:</w:t>
      </w:r>
      <w:r>
        <w:t xml:space="preserve"> el FCFE es la base económica de la </w:t>
      </w:r>
      <w:r>
        <w:rPr>
          <w:b/>
          <w:bCs/>
        </w:rPr>
        <w:t xml:space="preserve">política de dividendos</w:t>
      </w:r>
      <w:r>
        <w:t xml:space="preserve">. No se pueden distribuir dividendos sostenibles por encima del FCFE sin endeudarse o descapitalizarse. Y la regla de oro liga esto con la creación de valor: conviene </w:t>
      </w:r>
      <w:r>
        <w:rPr>
          <w:b/>
          <w:bCs/>
        </w:rPr>
        <w:t xml:space="preserve">reinvertir</w:t>
      </w:r>
      <w:r>
        <w:t xml:space="preserve"> el FCFE mientras existan proyectos con RONIC &gt; WACC, y </w:t>
      </w:r>
      <w:r>
        <w:rPr>
          <w:b/>
          <w:bCs/>
        </w:rPr>
        <w:t xml:space="preserve">distribuirlo</w:t>
      </w:r>
      <w:r>
        <w:t xml:space="preserve"> cuando los proyectos marginales rinden menos que el costo del capital. El FCFE marca cuánta caja real hay para esa decisión.</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FCFF (flujo de la firma)</w:t>
            </w:r>
          </w:p>
        </w:tc>
        <w:tc>
          <w:p>
            <w:pPr>
              <w:jc w:val="right"/>
            </w:pPr>
            <w:r>
              <w:rPr>
                <w:sz w:val="18"/>
                <w:szCs w:val="18"/>
              </w:rPr>
              <w:t xml:space="preserve">-330.5</w:t>
            </w:r>
          </w:p>
        </w:tc>
      </w:tr>
      <w:tr>
        <w:tc>
          <w:p>
            <w:pPr>
              <w:jc w:val="left"/>
            </w:pPr>
            <w:r>
              <w:rPr>
                <w:sz w:val="18"/>
                <w:szCs w:val="18"/>
              </w:rPr>
              <w:t xml:space="preserve">Intereses</w:t>
            </w:r>
          </w:p>
        </w:tc>
        <w:tc>
          <w:p>
            <w:pPr>
              <w:jc w:val="right"/>
            </w:pPr>
            <w:r>
              <w:rPr>
                <w:sz w:val="18"/>
                <w:szCs w:val="18"/>
              </w:rPr>
              <w:t xml:space="preserve">560</w:t>
            </w:r>
          </w:p>
        </w:tc>
      </w:tr>
      <w:tr>
        <w:tc>
          <w:p>
            <w:pPr>
              <w:jc w:val="left"/>
            </w:pPr>
            <w:r>
              <w:rPr>
                <w:sz w:val="18"/>
                <w:szCs w:val="18"/>
              </w:rPr>
              <w:t xml:space="preserve">Tasa de impuesto</w:t>
            </w:r>
          </w:p>
        </w:tc>
        <w:tc>
          <w:p>
            <w:pPr>
              <w:jc w:val="right"/>
            </w:pPr>
            <w:r>
              <w:rPr>
                <w:sz w:val="18"/>
                <w:szCs w:val="18"/>
              </w:rPr>
              <w:t xml:space="preserve">0.35</w:t>
            </w:r>
          </w:p>
        </w:tc>
      </w:tr>
      <w:tr>
        <w:tc>
          <w:p>
            <w:pPr>
              <w:jc w:val="left"/>
            </w:pPr>
            <w:r>
              <w:rPr>
                <w:sz w:val="18"/>
                <w:szCs w:val="18"/>
              </w:rPr>
              <w:t xml:space="preserve">Nueva deuda tomada</w:t>
            </w:r>
          </w:p>
        </w:tc>
        <w:tc>
          <w:p>
            <w:pPr>
              <w:jc w:val="right"/>
            </w:pPr>
            <w:r>
              <w:rPr>
                <w:sz w:val="18"/>
                <w:szCs w:val="18"/>
              </w:rPr>
              <w:t xml:space="preserve">230</w:t>
            </w:r>
          </w:p>
        </w:tc>
      </w:tr>
      <w:tr>
        <w:tc>
          <w:p>
            <w:pPr>
              <w:jc w:val="left"/>
            </w:pPr>
            <w:r>
              <w:rPr>
                <w:sz w:val="18"/>
                <w:szCs w:val="18"/>
              </w:rPr>
              <w:t xml:space="preserve">Amortización de deuda (capital)</w:t>
            </w:r>
          </w:p>
        </w:tc>
        <w:tc>
          <w:p>
            <w:pPr>
              <w:jc w:val="right"/>
            </w:pPr>
            <w:r>
              <w:rPr>
                <w:sz w:val="18"/>
                <w:szCs w:val="18"/>
              </w:rPr>
              <w:t xml:space="preserve">150</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Intereses después de impuesto</w:t>
            </w:r>
          </w:p>
        </w:tc>
        <w:tc>
          <w:p>
            <w:pPr>
              <w:jc w:val="right"/>
            </w:pPr>
            <w:r>
              <w:rPr>
                <w:sz w:val="18"/>
                <w:szCs w:val="18"/>
              </w:rPr>
              <w:t xml:space="preserve">intereses*(1-tax)</w:t>
            </w:r>
          </w:p>
        </w:tc>
      </w:tr>
      <w:tr>
        <w:tc>
          <w:p>
            <w:pPr>
              <w:jc w:val="left"/>
            </w:pPr>
            <w:r>
              <w:rPr>
                <w:sz w:val="18"/>
                <w:szCs w:val="18"/>
              </w:rPr>
              <w:t xml:space="preserve">Δ Deuda neta (nueva − amortización)</w:t>
            </w:r>
          </w:p>
        </w:tc>
        <w:tc>
          <w:p>
            <w:pPr>
              <w:jc w:val="right"/>
            </w:pPr>
            <w:r>
              <w:rPr>
                <w:sz w:val="18"/>
                <w:szCs w:val="18"/>
              </w:rPr>
              <w:t xml:space="preserve">deudaNueva-amortDeuda</w:t>
            </w:r>
          </w:p>
        </w:tc>
      </w:tr>
      <w:tr>
        <w:tc>
          <w:p>
            <w:pPr>
              <w:jc w:val="left"/>
            </w:pPr>
            <w:r>
              <w:rPr>
                <w:sz w:val="18"/>
                <w:szCs w:val="18"/>
              </w:rPr>
              <w:t xml:space="preserve">FCFE (FCFF − Int.(1−t) + ΔDeuda)</w:t>
            </w:r>
          </w:p>
        </w:tc>
        <w:tc>
          <w:p>
            <w:pPr>
              <w:jc w:val="right"/>
            </w:pPr>
            <w:r>
              <w:rPr>
                <w:sz w:val="18"/>
                <w:szCs w:val="18"/>
              </w:rPr>
              <w:t xml:space="preserve">fcff-intNetos+dDeuda</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2026-06-24T11:50:52.433Z</dcterms:created>
  <dcterms:modified xsi:type="dcterms:W3CDTF">2026-06-24T11:50:52.433Z</dcterms:modified>
</cp:coreProperties>
</file>

<file path=docProps/custom.xml><?xml version="1.0" encoding="utf-8"?>
<Properties xmlns="http://schemas.openxmlformats.org/officeDocument/2006/custom-properties" xmlns:vt="http://schemas.openxmlformats.org/officeDocument/2006/docPropsVTypes"/>
</file>