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6</w:t>
      </w:r>
    </w:p>
    <w:p>
      <w:pPr>
        <w:pStyle w:val="Title"/>
        <w:spacing w:after="40"/>
      </w:pPr>
      <w:r>
        <w:t xml:space="preserve">Ítem 4. CFROI: el retorno de caja sobre la inversión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La TIR real que desenmascara al ROIC contable inflado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CFROI · HOLT / Credit Suisse</w:t>
      </w:r>
    </w:p>
    <w:p>
      <w:pPr>
        <w:pStyle w:val="Heading2"/>
        <w:spacing w:after="100" w:before="220"/>
      </w:pPr>
      <w:r>
        <w:t xml:space="preserve">La empresa vista como un gran proyecto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CFROI (Cash Flow Return on Investment)</w:t>
      </w:r>
      <w:r>
        <w:t xml:space="preserve"> mira a toda la empresa como si fuera </w:t>
      </w:r>
      <w:r>
        <w:rPr>
          <w:b/>
          <w:bCs/>
        </w:rPr>
        <w:t xml:space="preserve">un solo gran proyecto de inversión</w:t>
      </w:r>
      <w:r>
        <w:t xml:space="preserve"> y calcula su </w:t>
      </w:r>
      <w:r>
        <w:rPr>
          <w:b/>
          <w:bCs/>
        </w:rPr>
        <w:t xml:space="preserve">TIR real</w:t>
      </w:r>
      <w:r>
        <w:t xml:space="preserve">: relaciona los flujos de caja brutos que genera contra la base de activos brutos ajustados por inflación, a lo largo de la vida útil de esos activos y considerando un valor residual. Fue desarrollado por HOLT (hoy Credit Suisse/UBS) y es una medida de retorno en </w:t>
      </w:r>
      <w:r>
        <w:rPr>
          <w:b/>
          <w:bCs/>
        </w:rPr>
        <w:t xml:space="preserve">términos reales</w:t>
      </w:r>
      <w:r>
        <w:t xml:space="preserve">, no nominales.</w:t>
      </w:r>
    </w:p>
    <w:p>
      <w:pPr>
        <w:spacing w:after="140" w:line="276"/>
      </w:pPr>
      <w:r>
        <w:t xml:space="preserve">Su gran virtud es que </w:t>
      </w:r>
      <w:r>
        <w:rPr>
          <w:b/>
          <w:bCs/>
        </w:rPr>
        <w:t xml:space="preserve">corrige los dos sesgos del ROIC contable</w:t>
      </w:r>
      <w:r>
        <w:t xml:space="preserve"> que distorsionan los mercados emergentes. Primero, usa </w:t>
      </w:r>
      <w:r>
        <w:rPr>
          <w:b/>
          <w:bCs/>
        </w:rPr>
        <w:t xml:space="preserve">activos brutos</w:t>
      </w:r>
      <w:r>
        <w:t xml:space="preserve"> (antes de depreciación acumulada), así que los activos viejos y depreciados —que achican artificialmente el denominador y "inflan" el ROIC— no engañan. Segundo, </w:t>
      </w:r>
      <w:r>
        <w:rPr>
          <w:b/>
          <w:bCs/>
        </w:rPr>
        <w:t xml:space="preserve">ajusta por inflación</w:t>
      </w:r>
      <w:r>
        <w:t xml:space="preserve">, reexpresando todo a moneda corriente, de modo que no mezcla pesos de distinto poder adquisitivo. En Andina, con maquinaria antigua y terreno a valor histórico, el ROIC contable está inflado: el CFROI lo desenmascara.</w:t>
      </w:r>
    </w:p>
    <w:p>
      <w:pPr>
        <w:spacing w:after="140" w:line="276"/>
      </w:pPr>
      <w:r>
        <w:t xml:space="preserve">La intuición del cálculo es de TIR: la </w:t>
      </w:r>
      <w:r>
        <w:rPr>
          <w:b/>
          <w:bCs/>
        </w:rPr>
        <w:t xml:space="preserve">inversión bruta ajustada</w:t>
      </w:r>
      <w:r>
        <w:t xml:space="preserve"> es el desembolso "de hoy"; los </w:t>
      </w:r>
      <w:r>
        <w:rPr>
          <w:b/>
          <w:bCs/>
        </w:rPr>
        <w:t xml:space="preserve">flujos de caja brutos anuales</w:t>
      </w:r>
      <w:r>
        <w:t xml:space="preserve"> (NOPAT + amortizaciones, en términos reales) son los ingresos del proyecto durante n años; el </w:t>
      </w:r>
      <w:r>
        <w:rPr>
          <w:b/>
          <w:bCs/>
        </w:rPr>
        <w:t xml:space="preserve">valor residual</w:t>
      </w:r>
      <w:r>
        <w:t xml:space="preserve"> (terrenos, capital de trabajo recuperable) es lo que se rescata al final. El CFROI es la tasa que iguala todo eso, y se compara contra un </w:t>
      </w:r>
      <w:r>
        <w:rPr>
          <w:b/>
          <w:bCs/>
        </w:rPr>
        <w:t xml:space="preserve">costo de capital real</w:t>
      </w:r>
      <w:r>
        <w:t xml:space="preserve">.</w:t>
      </w:r>
    </w:p>
    <w:p>
      <w:pPr>
        <w:pStyle w:val="Heading2"/>
        <w:spacing w:after="100" w:before="220"/>
      </w:pPr>
      <w:r>
        <w:t xml:space="preserve">Un cálculo simplificado</w:t>
      </w:r>
    </w:p>
    <w:p>
      <w:pPr>
        <w:spacing w:after="140" w:line="276"/>
      </w:pPr>
      <w:r>
        <w:t xml:space="preserve">La versión rigurosa del CFROI resuelve una TIR con vida útil estimada y reexpresión por inflación, lo que la vuelve compleja y poco transparente —su principal debilidad—. Para fines didácticos se usa una aproximación: </w:t>
      </w:r>
      <w:r>
        <w:rPr>
          <w:b/>
          <w:bCs/>
        </w:rPr>
        <w:t xml:space="preserve">CFROI ≈ Flujo de Caja Bruto Real / Inversión Bruta Ajustada</w:t>
      </w:r>
      <w:r>
        <w:t xml:space="preserve">, que captura la esencia —retorno de caja sobre activos a valor corriente— sin resolver la TIR completa.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Flujo de Caja Bruto</w:t>
      </w:r>
      <w:r>
        <w:t xml:space="preserve"> es el NOPAT más las amortizaciones (la caja operativa antes de inversión). La </w:t>
      </w:r>
      <w:r>
        <w:rPr>
          <w:b/>
          <w:bCs/>
        </w:rPr>
        <w:t xml:space="preserve">Inversión Bruta Ajustada</w:t>
      </w:r>
      <w:r>
        <w:t xml:space="preserve"> son los activos brutos reexpresados a valor de mercado, no a costo histórico depreciado. La diferencia con el ROIC es justamente el denominador: el ROIC usa el capital neto contable (chico, inflado); el CFROI usa el bruto a valor corriente (grande, realista). Por eso el CFROI suele ser </w:t>
      </w:r>
      <w:r>
        <w:rPr>
          <w:b/>
          <w:bCs/>
        </w:rPr>
        <w:t xml:space="preserve">menor</w:t>
      </w:r>
      <w:r>
        <w:t xml:space="preserve"> que el ROIC contable, y esa brecha es la huella de la distorsión.</w:t>
      </w:r>
    </w:p>
    <w:p>
      <w:pPr>
        <w:pStyle w:val="Heading2"/>
        <w:spacing w:after="100" w:before="220"/>
      </w:pPr>
      <w:r>
        <w:t xml:space="preserve">Interrelación: CFROI como verificación cruzada del ROIC</w:t>
      </w:r>
    </w:p>
    <w:p>
      <w:pPr>
        <w:spacing w:after="140" w:line="276"/>
      </w:pPr>
      <w:r>
        <w:t xml:space="preserve">El CFROI no reemplaza al ROIC: lo </w:t>
      </w:r>
      <w:r>
        <w:rPr>
          <w:b/>
          <w:bCs/>
        </w:rPr>
        <w:t xml:space="preserve">verifica</w:t>
      </w:r>
      <w:r>
        <w:t xml:space="preserve">. La jerarquía de robustez en mercados emergentes pone a los flujos de caja (FCFF, CFROI) por encima de los ratios contables nominales (ROIC, DuPont). La regla de diagnóstico es directa: </w:t>
      </w:r>
      <w:r>
        <w:rPr>
          <w:b/>
          <w:bCs/>
        </w:rPr>
        <w:t xml:space="preserve">si el CFROI es mucho menor que el ROIC contable, hay distorsión por inflación o activos viejos</w:t>
      </w:r>
      <w:r>
        <w:t xml:space="preserve">, y conviene confiar en el CFROI real, no en el ROIC nominal.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CFROI se compara contra un </w:t>
      </w:r>
      <w:r>
        <w:rPr>
          <w:b/>
          <w:bCs/>
        </w:rPr>
        <w:t xml:space="preserve">costo de capital real</w:t>
      </w:r>
      <w:r>
        <w:t xml:space="preserve"> (el WACC en términos reales), igual que el ROIC se compara contra el WACC nominal. Si el CFROI supera al costo de capital real, la empresa crea valor en términos reales; si no, lo destruye —aunque el ROIC contable diga lo contrario—. Es el contraste que evita celebrar una rentabilidad nominal que la inflación se está comiendo.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EBIT (resultado operativo)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830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impuesto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0.35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Amortizaciones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290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Inversión bruta ajustada (activos a valor corriente)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6500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Capital invertido neto contable (para comparar ROIC)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4200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Costo de capital real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0.12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NOPAT (EBIT × (1 − t))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ebit*(1-tax)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Flujo de caja bruto (NOPAT + Amort.)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nopat+amort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CFROI (FCB / Inversión bruta)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fcb/invBruta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ROIC contable (NOPAT / capital neto)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nopat/capitalNeto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2026-06-24T11:50:52.463Z</dcterms:created>
  <dcterms:modified xsi:type="dcterms:W3CDTF">2026-06-24T11:50:52.463Z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