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D4AF37"/>
          <w:sz w:val="18"/>
          <w:szCs w:val="18"/>
        </w:rPr>
        <w:t xml:space="preserve">ACADEMIA FC + IA · Semana 7</w:t>
      </w:r>
    </w:p>
    <w:p>
      <w:pPr>
        <w:pStyle w:val="Title"/>
        <w:spacing w:after="40"/>
      </w:pPr>
      <w:r>
        <w:t xml:space="preserve">Ítem 4. Matriz de aging-reclamo de cobranzas</w:t>
      </w:r>
    </w:p>
    <w:p>
      <w:pPr>
        <w:spacing w:after="40"/>
      </w:pPr>
      <w:r>
        <w:rPr>
          <w:i/>
          <w:iCs/>
          <w:color w:val="555555"/>
          <w:sz w:val="22"/>
          <w:szCs w:val="22"/>
        </w:rPr>
        <w:t xml:space="preserve">Tramos de vencido × intensidad de gestión, y cuánto se espera recuperar</w:t>
      </w:r>
    </w:p>
    <w:p>
      <w:pPr>
        <w:spacing w:after="160"/>
      </w:pPr>
      <w:r>
        <w:rPr>
          <w:b/>
          <w:bCs/>
          <w:color w:val="94741F"/>
          <w:sz w:val="18"/>
          <w:szCs w:val="18"/>
        </w:rPr>
        <w:t xml:space="preserve">Marco: matrices-operativas · aging-reclamo</w:t>
      </w:r>
    </w:p>
    <w:p>
      <w:pPr>
        <w:pStyle w:val="Heading2"/>
        <w:spacing w:after="100" w:before="220"/>
      </w:pPr>
      <w:r>
        <w:t xml:space="preserve">La cartera como mapa de acción</w:t>
      </w:r>
    </w:p>
    <w:p>
      <w:pPr>
        <w:spacing w:after="140" w:line="276"/>
      </w:pPr>
      <w:r>
        <w:t xml:space="preserve">La matriz de </w:t>
      </w:r>
      <w:r>
        <w:rPr>
          <w:b/>
          <w:bCs/>
        </w:rPr>
        <w:t xml:space="preserve">aging-reclamo</w:t>
      </w:r>
      <w:r>
        <w:t xml:space="preserve"> convierte las cuentas por cobrar en un mapa de acción cruzando dos dimensiones. En un eje, el </w:t>
      </w:r>
      <w:r>
        <w:rPr>
          <w:b/>
          <w:bCs/>
        </w:rPr>
        <w:t xml:space="preserve">aging</w:t>
      </w:r>
      <w:r>
        <w:t xml:space="preserve"> de la deuda (tramos: corriente / no vencida, 1-30, 31-60, 61-90, +90 días de vencido). En el otro, la </w:t>
      </w:r>
      <w:r>
        <w:rPr>
          <w:b/>
          <w:bCs/>
        </w:rPr>
        <w:t xml:space="preserve">intensidad de la gestión de cobranza</w:t>
      </w:r>
      <w:r>
        <w:t xml:space="preserve"> (días desde el último reclamo, o cantidad de reclamos). El cruce identifica la </w:t>
      </w:r>
      <w:r>
        <w:rPr>
          <w:b/>
          <w:bCs/>
        </w:rPr>
        <w:t xml:space="preserve">zona crítica</w:t>
      </w:r>
      <w:r>
        <w:t xml:space="preserve">: cuentas muy vencidas </w:t>
      </w:r>
      <w:r>
        <w:rPr>
          <w:b/>
          <w:bCs/>
        </w:rPr>
        <w:t xml:space="preserve">y</w:t>
      </w:r>
      <w:r>
        <w:t xml:space="preserve"> poco o nada reclamadas, el máximo riesgo de incobrabilidad por </w:t>
      </w:r>
      <w:r>
        <w:rPr>
          <w:b/>
          <w:bCs/>
        </w:rPr>
        <w:t xml:space="preserve">negligencia de gestión</w:t>
      </w:r>
      <w:r>
        <w:t xml:space="preserve">, no solo de crédito.</w:t>
      </w:r>
    </w:p>
    <w:p>
      <w:pPr>
        <w:spacing w:after="140" w:line="276"/>
      </w:pPr>
      <w:r>
        <w:t xml:space="preserve">Cada celda recibe una </w:t>
      </w:r>
      <w:r>
        <w:rPr>
          <w:b/>
          <w:bCs/>
        </w:rPr>
        <w:t xml:space="preserve">acción concreta</w:t>
      </w:r>
      <w:r>
        <w:t xml:space="preserve">: recordatorio preventivo en lo corriente, llamada de cortesía en lo recién vencido, intimación formal y freno de crédito en los tramos medios, derivación a legales y previsión total en el +90 sin reclamo. La diagonal "bien gestionada" (vencido pero reclamado a tiempo) tiene mejor pronóstico de recupero que la columna de los abandonados.</w:t>
      </w:r>
    </w:p>
    <w:p>
      <w:pPr>
        <w:spacing w:after="140" w:line="276"/>
      </w:pPr>
      <w:r>
        <w:t xml:space="preserve">En </w:t>
      </w:r>
      <w:r>
        <w:rPr>
          <w:b/>
          <w:bCs/>
        </w:rPr>
        <w:t xml:space="preserve">Andina</w:t>
      </w:r>
      <w:r>
        <w:t xml:space="preserve">, de los 1850 de cuentas por cobrar hay </w:t>
      </w:r>
      <w:r>
        <w:rPr>
          <w:b/>
          <w:bCs/>
        </w:rPr>
        <w:t xml:space="preserve">290 de mora mayor a 120 días con baja probabilidad de cobro</w:t>
      </w:r>
      <w:r>
        <w:t xml:space="preserve">: el valor real de la cartera es menor al contable. Esos 290 son, casi con seguridad, la celda crítica +90 sin gestión: plata que la contabilidad sigue mostrando como activo pero que la cobranza ya perdió de vista.</w:t>
      </w:r>
    </w:p>
    <w:p>
      <w:pPr>
        <w:pStyle w:val="Heading2"/>
        <w:spacing w:after="100" w:before="220"/>
      </w:pPr>
      <w:r>
        <w:t xml:space="preserve">Un modelo numérico de recupero esperado</w:t>
      </w:r>
    </w:p>
    <w:p>
      <w:pPr>
        <w:spacing w:after="140" w:line="276"/>
      </w:pPr>
      <w:r>
        <w:t xml:space="preserve">Sin armar la grilla completa, el modelo accionable asigna a cada </w:t>
      </w:r>
      <w:r>
        <w:rPr>
          <w:b/>
          <w:bCs/>
        </w:rPr>
        <w:t xml:space="preserve">tramo de aging</w:t>
      </w:r>
      <w:r>
        <w:t xml:space="preserve"> un monto y una </w:t>
      </w:r>
      <w:r>
        <w:rPr>
          <w:b/>
          <w:bCs/>
        </w:rPr>
        <w:t xml:space="preserve">probabilidad de recupero</w:t>
      </w:r>
      <w:r>
        <w:t xml:space="preserve"> decreciente con el vencimiento (lo corriente cobra casi todo; el +90 sin gestión, casi nada). El </w:t>
      </w:r>
      <w:r>
        <w:rPr>
          <w:b/>
          <w:bCs/>
        </w:rPr>
        <w:t xml:space="preserve">recupero esperado</w:t>
      </w:r>
      <w:r>
        <w:t xml:space="preserve"> = Σ (monto del tramo × prob. de recupero del tramo), y el complemento es la </w:t>
      </w:r>
      <w:r>
        <w:rPr>
          <w:b/>
          <w:bCs/>
        </w:rPr>
        <w:t xml:space="preserve">previsión por incobrables</w:t>
      </w:r>
      <w:r>
        <w:t xml:space="preserve"> que hay que reconocer.</w:t>
      </w:r>
    </w:p>
    <w:p>
      <w:pPr>
        <w:spacing w:after="140" w:line="276"/>
      </w:pPr>
      <w:r>
        <w:t xml:space="preserve">El segundo indicador es la </w:t>
      </w:r>
      <w:r>
        <w:rPr>
          <w:b/>
          <w:bCs/>
        </w:rPr>
        <w:t xml:space="preserve">calidad de la cartera</w:t>
      </w:r>
      <w:r>
        <w:t xml:space="preserve">: % recuperable esperado = recupero esperado ÷ cartera total. Una cartera "joven" y gestionada puede recuperar más del 90%; una envejecida y abandonada, mucho menos. Y el </w:t>
      </w:r>
      <w:r>
        <w:rPr>
          <w:b/>
          <w:bCs/>
        </w:rPr>
        <w:t xml:space="preserve">riesgo concentrado en la zona crítica</w:t>
      </w:r>
      <w:r>
        <w:t xml:space="preserve"> (monto del +90 sin reclamo) mide cuánta plata está en el peor cuadrante, donde la acción de cobranza tiene el mayor retorno marginal.</w:t>
      </w:r>
    </w:p>
    <w:p>
      <w:pPr>
        <w:spacing w:after="140" w:line="276"/>
      </w:pPr>
      <w:r>
        <w:t xml:space="preserve">La lectura es directa: concentrar el equipo de cobranzas en la columna de los tramos vencidos y mal gestionados es la </w:t>
      </w:r>
      <w:r>
        <w:rPr>
          <w:b/>
          <w:bCs/>
        </w:rPr>
        <w:t xml:space="preserve">acción de mayor retorno</w:t>
      </w:r>
      <w:r>
        <w:t xml:space="preserve">. Reducir ese monto acelera el cobro, sube el % recuperable y baja la previsión que castiga el resultado.</w:t>
      </w:r>
    </w:p>
    <w:p>
      <w:pPr>
        <w:pStyle w:val="Heading2"/>
        <w:spacing w:after="100" w:before="220"/>
      </w:pPr>
      <w:r>
        <w:t xml:space="preserve">Interrelaciones y debilidades</w:t>
      </w:r>
    </w:p>
    <w:p>
      <w:pPr>
        <w:spacing w:after="140" w:line="276"/>
      </w:pPr>
      <w:r>
        <w:rPr>
          <w:b/>
          <w:bCs/>
        </w:rPr>
        <w:t xml:space="preserve">Interrelación clave:</w:t>
      </w:r>
      <w:r>
        <w:t xml:space="preserve"> la matriz ataca el </w:t>
      </w:r>
      <w:r>
        <w:rPr>
          <w:b/>
          <w:bCs/>
        </w:rPr>
        <w:t xml:space="preserve">DSO</w:t>
      </w:r>
      <w:r>
        <w:t xml:space="preserve"> (ítem 1): acelerar el cobro de los tramos vencidos baja los días de cobranza, comprime el </w:t>
      </w:r>
      <w:r>
        <w:rPr>
          <w:b/>
          <w:bCs/>
        </w:rPr>
        <w:t xml:space="preserve">CCE</w:t>
      </w:r>
      <w:r>
        <w:t xml:space="preserve"> (ítem 2), libera capital de trabajo y </w:t>
      </w:r>
      <w:r>
        <w:rPr>
          <w:b/>
          <w:bCs/>
        </w:rPr>
        <w:t xml:space="preserve">sube el ROIC</w:t>
      </w:r>
      <w:r>
        <w:t xml:space="preserve"> (Semana 9). Además ancla el cálculo de la </w:t>
      </w:r>
      <w:r>
        <w:rPr>
          <w:b/>
          <w:bCs/>
        </w:rPr>
        <w:t xml:space="preserve">previsión por incobrables</w:t>
      </w:r>
      <w:r>
        <w:t xml:space="preserve">, que impacta directo el resultado y el valor real del activo (la brecha book vs. real de Andina).</w:t>
      </w:r>
    </w:p>
    <w:p>
      <w:pPr>
        <w:spacing w:after="140" w:line="276"/>
      </w:pPr>
      <w:r>
        <w:rPr>
          <w:b/>
          <w:bCs/>
        </w:rPr>
        <w:t xml:space="preserve">Debilidades:</w:t>
      </w:r>
      <w:r>
        <w:t xml:space="preserve"> requiere datos de gestión bien registrados (CRM/cobranzas), inexistentes en muchas PyMEs; no captura la capacidad real de pago (un cliente bien gestionado puede igual quebrar); puede tensar relaciones con clientes estratégicos si la acción es desproporcionada; y el aging se distorsiona con refinanciaciones. Es una herramienta de </w:t>
      </w:r>
      <w:r>
        <w:rPr>
          <w:b/>
          <w:bCs/>
        </w:rPr>
        <w:t xml:space="preserve">priorización</w:t>
      </w:r>
      <w:r>
        <w:t xml:space="preserve">, no un oráculo de cobro.</w:t>
      </w:r>
    </w:p>
    <w:p>
      <w:pPr>
        <w:pStyle w:val="Heading2"/>
        <w:spacing w:after="100" w:before="220"/>
      </w:pPr>
      <w:r>
        <w:t xml:space="preserve">El modelo: variables y fórmulas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 de entrada</w:t>
            </w:r>
          </w:p>
        </w:tc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 base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Corriente / no vencido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1000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Vencido 1-60 días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360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Vencido 61-120 días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200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+120 días sin gestión (zona crítica)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290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Prob. recupero tramo 1-60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0.85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Prob. recupero tramo 61-120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0.55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Prob. recupero zona crítica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0.15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Indicador calculado</w:t>
            </w:r>
          </w:p>
        </w:tc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Fórmula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Cartera total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corriente+t1+t2+critico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Recupero esperado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corriente+t1</w:t>
            </w:r>
            <w:r>
              <w:rPr>
                <w:i/>
                <w:iCs/>
                <w:sz w:val="18"/>
                <w:szCs w:val="18"/>
              </w:rPr>
              <w:t xml:space="preserve">pRec1+t2</w:t>
            </w:r>
            <w:r>
              <w:rPr>
                <w:sz w:val="18"/>
                <w:szCs w:val="18"/>
              </w:rPr>
              <w:t xml:space="preserve">pRec2+critico*pRecCrit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% recuperable esperado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recuperoEsp/cartera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Previsión por incobrables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cartera-recuperoEsp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Riesgo en zona crítica (% cartera)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critico/cartera</w:t>
            </w:r>
          </w:p>
        </w:tc>
      </w:tr>
    </w:tbl>
    <w:p>
      <w:pPr>
        <w:spacing w:before="160"/>
      </w:pPr>
      <w:r>
        <w:t xml:space="preserve">Abrí el </w:t>
      </w:r>
      <w:r>
        <w:rPr>
          <w:b/>
          <w:bCs/>
        </w:rPr>
        <w:t xml:space="preserve">modelo interactivo</w:t>
      </w:r>
      <w:r>
        <w:t xml:space="preserve"> de este ítem en la plataforma para mover las variables en vivo, y usá el Excel para construir tu propio caso con matrices dinámicas.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rPr>
      <w:b/>
      <w:bCs/>
      <w:color w:val="0B1120"/>
      <w:sz w:val="36"/>
      <w:szCs w:val="36"/>
    </w:rPr>
  </w:style>
  <w:style w:type="paragraph" w:styleId="Heading2">
    <w:name w:val="Heading 2"/>
    <w:pPr>
      <w:spacing w:after="100" w:before="200"/>
    </w:pPr>
    <w:rPr>
      <w:b/>
      <w:bCs/>
      <w:color w:val="94741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2026-06-24T11:50:52.536Z</dcterms:created>
  <dcterms:modified xsi:type="dcterms:W3CDTF">2026-06-24T11:50:52.536Z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