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D4AF37"/>
          <w:sz w:val="18"/>
          <w:szCs w:val="18"/>
        </w:rPr>
        <w:t xml:space="preserve">ACADEMIA FC + IA · Semana 8</w:t>
      </w:r>
    </w:p>
    <w:p>
      <w:pPr>
        <w:pStyle w:val="Title"/>
        <w:spacing w:after="40"/>
      </w:pPr>
      <w:r>
        <w:t xml:space="preserve">Ítem 1. CAPEX vs. bien de uso contable</w:t>
      </w:r>
    </w:p>
    <w:p>
      <w:pPr>
        <w:spacing w:after="40"/>
      </w:pPr>
      <w:r>
        <w:rPr>
          <w:i/>
          <w:iCs/>
          <w:color w:val="555555"/>
          <w:sz w:val="22"/>
          <w:szCs w:val="22"/>
        </w:rPr>
        <w:t xml:space="preserve">La inversión real del período frente a la amortización del libro</w:t>
      </w:r>
    </w:p>
    <w:p>
      <w:pPr>
        <w:spacing w:after="160"/>
      </w:pPr>
      <w:r>
        <w:rPr>
          <w:b/>
          <w:bCs/>
          <w:color w:val="94741F"/>
          <w:sz w:val="18"/>
          <w:szCs w:val="18"/>
        </w:rPr>
        <w:t xml:space="preserve">Marco: Bienes de uso · CAPEX vs. D&amp;A</w:t>
      </w:r>
    </w:p>
    <w:p>
      <w:pPr>
        <w:pStyle w:val="Heading2"/>
        <w:spacing w:after="100" w:before="220"/>
      </w:pPr>
      <w:r>
        <w:t xml:space="preserve">Dos cosas que se confunden todo el tiempo</w:t>
      </w:r>
    </w:p>
    <w:p>
      <w:pPr>
        <w:spacing w:after="140" w:line="276"/>
      </w:pPr>
      <w:r>
        <w:t xml:space="preserve">El </w:t>
      </w:r>
      <w:r>
        <w:rPr>
          <w:b/>
          <w:bCs/>
        </w:rPr>
        <w:t xml:space="preserve">CAPEX (Capital Expenditure)</w:t>
      </w:r>
      <w:r>
        <w:t xml:space="preserve"> es la </w:t>
      </w:r>
      <w:r>
        <w:rPr>
          <w:b/>
          <w:bCs/>
        </w:rPr>
        <w:t xml:space="preserve">plata real que sale de la caja</w:t>
      </w:r>
      <w:r>
        <w:t xml:space="preserve"> para comprar o mejorar activos fijos en el período: una máquina nueva, una ampliación, un rodado. Es un movimiento de </w:t>
      </w:r>
      <w:r>
        <w:rPr>
          <w:b/>
          <w:bCs/>
        </w:rPr>
        <w:t xml:space="preserve">caja</w:t>
      </w:r>
      <w:r>
        <w:t xml:space="preserve">, va en el flujo de inversión. La </w:t>
      </w:r>
      <w:r>
        <w:rPr>
          <w:b/>
          <w:bCs/>
        </w:rPr>
        <w:t xml:space="preserve">amortización (D&amp;A)</w:t>
      </w:r>
      <w:r>
        <w:t xml:space="preserve"> es otra cosa: es el reparto contable del costo de un activo ya comprado a lo largo de su vida útil. </w:t>
      </w:r>
      <w:r>
        <w:rPr>
          <w:b/>
          <w:bCs/>
        </w:rPr>
        <w:t xml:space="preserve">No mueve caja</w:t>
      </w:r>
      <w:r>
        <w:t xml:space="preserve">: es un asiento que reconoce el desgaste.</w:t>
      </w:r>
    </w:p>
    <w:p>
      <w:pPr>
        <w:spacing w:after="140" w:line="276"/>
      </w:pPr>
      <w:r>
        <w:t xml:space="preserve">La confusión es clásica porque ambos hablan de activos fijos, pero viven en estados distintos. El CAPEX aparece en el </w:t>
      </w:r>
      <w:r>
        <w:rPr>
          <w:b/>
          <w:bCs/>
        </w:rPr>
        <w:t xml:space="preserve">cash flow de inversión</w:t>
      </w:r>
      <w:r>
        <w:t xml:space="preserve">; la amortización aparece en el </w:t>
      </w:r>
      <w:r>
        <w:rPr>
          <w:b/>
          <w:bCs/>
        </w:rPr>
        <w:t xml:space="preserve">estado de resultados</w:t>
      </w:r>
      <w:r>
        <w:t xml:space="preserve"> (resta para llegar al EBIT) y se </w:t>
      </w:r>
      <w:r>
        <w:rPr>
          <w:b/>
          <w:bCs/>
        </w:rPr>
        <w:t xml:space="preserve">suma de vuelta</w:t>
      </w:r>
      <w:r>
        <w:t xml:space="preserve"> en el flujo operativo porque no fue una salida de plata. En </w:t>
      </w:r>
      <w:r>
        <w:rPr>
          <w:b/>
          <w:bCs/>
        </w:rPr>
        <w:t xml:space="preserve">Andina</w:t>
      </w:r>
      <w:r>
        <w:t xml:space="preserve"> conviven los dos: CAPEX de </w:t>
      </w:r>
      <w:r>
        <w:rPr>
          <w:b/>
          <w:bCs/>
        </w:rPr>
        <w:t xml:space="preserve">440</w:t>
      </w:r>
      <w:r>
        <w:t xml:space="preserve"> (compra de maquinaria, sale caja) y amortizaciones de </w:t>
      </w:r>
      <w:r>
        <w:rPr>
          <w:b/>
          <w:bCs/>
        </w:rPr>
        <w:t xml:space="preserve">290</w:t>
      </w:r>
      <w:r>
        <w:t xml:space="preserve"> (cargo contable, no sale caja).</w:t>
      </w:r>
    </w:p>
    <w:p>
      <w:pPr>
        <w:spacing w:after="140" w:line="276"/>
      </w:pPr>
      <w:r>
        <w:t xml:space="preserve">La diferencia entre ambos cuenta una historia. Si el </w:t>
      </w:r>
      <w:r>
        <w:rPr>
          <w:b/>
          <w:bCs/>
        </w:rPr>
        <w:t xml:space="preserve">CAPEX supera a la amortización</w:t>
      </w:r>
      <w:r>
        <w:t xml:space="preserve">, la empresa está </w:t>
      </w:r>
      <w:r>
        <w:rPr>
          <w:b/>
          <w:bCs/>
        </w:rPr>
        <w:t xml:space="preserve">invirtiendo más rápido de lo que se desgasta</w:t>
      </w:r>
      <w:r>
        <w:t xml:space="preserve">: el stock de activos crece (Andina, 440 vs. 290, está creciendo su base de activos). Si el CAPEX es </w:t>
      </w:r>
      <w:r>
        <w:rPr>
          <w:b/>
          <w:bCs/>
        </w:rPr>
        <w:t xml:space="preserve">menor</w:t>
      </w:r>
      <w:r>
        <w:t xml:space="preserve"> que la amortización, la empresa está </w:t>
      </w:r>
      <w:r>
        <w:rPr>
          <w:b/>
          <w:bCs/>
        </w:rPr>
        <w:t xml:space="preserve">dejando envejecer</w:t>
      </w:r>
      <w:r>
        <w:t xml:space="preserve"> sus activos sin reponerlos: vive de su capital, lo que tarde o temprano se paga.</w:t>
      </w:r>
    </w:p>
    <w:p>
      <w:pPr>
        <w:pStyle w:val="Heading2"/>
        <w:spacing w:after="100" w:before="220"/>
      </w:pPr>
      <w:r>
        <w:t xml:space="preserve">Por qué importa para la caja y para el valor</w:t>
      </w:r>
    </w:p>
    <w:p>
      <w:pPr>
        <w:spacing w:after="140" w:line="276"/>
      </w:pPr>
      <w:r>
        <w:t xml:space="preserve">En el flujo de fondos libre (</w:t>
      </w:r>
      <w:r>
        <w:rPr>
          <w:b/>
          <w:bCs/>
        </w:rPr>
        <w:t xml:space="preserve">FCFF</w:t>
      </w:r>
      <w:r>
        <w:t xml:space="preserve">), el CAPEX </w:t>
      </w:r>
      <w:r>
        <w:rPr>
          <w:b/>
          <w:bCs/>
        </w:rPr>
        <w:t xml:space="preserve">resta caja real</w:t>
      </w:r>
      <w:r>
        <w:t xml:space="preserve"> y la amortización se </w:t>
      </w:r>
      <w:r>
        <w:rPr>
          <w:b/>
          <w:bCs/>
        </w:rPr>
        <w:t xml:space="preserve">suma de vuelta</w:t>
      </w:r>
      <w:r>
        <w:t xml:space="preserve"> (porque se había restado en el resultado sin ser salida). La </w:t>
      </w:r>
      <w:r>
        <w:rPr>
          <w:b/>
          <w:bCs/>
        </w:rPr>
        <w:t xml:space="preserve">inversión neta</w:t>
      </w:r>
      <w:r>
        <w:t xml:space="preserve"> en activos fijos = CAPEX − amortización es lo que efectivamente se sumó a la base de activos. Ese número, más el cambio en capital de trabajo (Semana 7), es la </w:t>
      </w:r>
      <w:r>
        <w:rPr>
          <w:b/>
          <w:bCs/>
        </w:rPr>
        <w:t xml:space="preserve">inversión neta total</w:t>
      </w:r>
      <w:r>
        <w:t xml:space="preserve"> que alimenta el RONIC (ítem 3).</w:t>
      </w:r>
    </w:p>
    <w:p>
      <w:pPr>
        <w:spacing w:after="140" w:line="276"/>
      </w:pPr>
      <w:r>
        <w:t xml:space="preserve">Un </w:t>
      </w:r>
      <w:r>
        <w:rPr>
          <w:b/>
          <w:bCs/>
        </w:rPr>
        <w:t xml:space="preserve">CAPEX mal clasificado</w:t>
      </w:r>
      <w:r>
        <w:t xml:space="preserve"> distorsiona todo: si se carga como gasto algo que es inversión (o al revés), se rompe el EBIT, la amortización futura y el flujo. Y un CAPEX crónicamente menor a la amortización ininfla la caja de corto plazo a costa de descapitalizar la empresa: caja "linda" hoy, máquinas obsoletas mañana (parte de la maquinaria de Andina ya está tecnológicamente obsoleta).</w:t>
      </w:r>
    </w:p>
    <w:p>
      <w:pPr>
        <w:spacing w:after="140" w:line="276"/>
      </w:pPr>
      <w:r>
        <w:rPr>
          <w:b/>
          <w:bCs/>
        </w:rPr>
        <w:t xml:space="preserve">Interrelación clave:</w:t>
      </w:r>
      <w:r>
        <w:t xml:space="preserve"> el CAPEX y la amortización son los ladrillos de la </w:t>
      </w:r>
      <w:r>
        <w:rPr>
          <w:b/>
          <w:bCs/>
        </w:rPr>
        <w:t xml:space="preserve">inversión neta</w:t>
      </w:r>
      <w:r>
        <w:t xml:space="preserve"> que va al denominador del RONIC (ítem 3) y a la </w:t>
      </w:r>
      <w:r>
        <w:rPr>
          <w:b/>
          <w:bCs/>
        </w:rPr>
        <w:t xml:space="preserve">tasa de reinversión</w:t>
      </w:r>
      <w:r>
        <w:t xml:space="preserve"> (ítem 4). Distinguir mantenimiento de expansión (ítem 5) decide cuánto de ese CAPEX sostiene el negocio y cuánto lo hace crecer.</w:t>
      </w:r>
    </w:p>
    <w:p>
      <w:pPr>
        <w:pStyle w:val="Heading2"/>
        <w:spacing w:after="100" w:before="220"/>
      </w:pPr>
      <w:r>
        <w:t xml:space="preserve">El modelo: variables y fórmulas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 de entrada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 base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CAPEX del período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440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Amortización del período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290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Activos fijos netos (inicio)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2700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 calculado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Fórmula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Inversión neta en activos fijos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capex-amort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CAPEX / Amortización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capex/amort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Crecimiento de la base de activos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(capex-amort)/activosFijos</w:t>
            </w:r>
          </w:p>
        </w:tc>
      </w:tr>
    </w:tbl>
    <w:p>
      <w:pPr>
        <w:spacing w:before="160"/>
      </w:pPr>
      <w:r>
        <w:t xml:space="preserve">Abrí el </w:t>
      </w:r>
      <w:r>
        <w:rPr>
          <w:b/>
          <w:bCs/>
        </w:rPr>
        <w:t xml:space="preserve">modelo interactivo</w:t>
      </w:r>
      <w:r>
        <w:t xml:space="preserve"> de este ítem en la plataforma para mover las variables en vivo, y usá el Excel para construir tu propio caso con matrices dinámicas.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rPr>
      <w:b/>
      <w:bCs/>
      <w:color w:val="0B1120"/>
      <w:sz w:val="36"/>
      <w:szCs w:val="36"/>
    </w:rPr>
  </w:style>
  <w:style w:type="paragraph" w:styleId="Heading2">
    <w:name w:val="Heading 2"/>
    <w:pPr>
      <w:spacing w:after="100" w:before="200"/>
    </w:pPr>
    <w:rPr>
      <w:b/>
      <w:bCs/>
      <w:color w:val="9474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2026-06-24T11:50:52.567Z</dcterms:created>
  <dcterms:modified xsi:type="dcterms:W3CDTF">2026-06-24T11:50:52.567Z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