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8</w:t>
      </w:r>
    </w:p>
    <w:p>
      <w:pPr>
        <w:pStyle w:val="Title"/>
        <w:spacing w:after="40"/>
      </w:pPr>
      <w:r>
        <w:t xml:space="preserve">Ítem 2. Valor contable vs. valor de mercado de los activos fijos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El terreno escondido y la maquinaria sobrevaluada (book vs. real)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value-generation-emerging-markets · book vs. real</w:t>
      </w:r>
    </w:p>
    <w:p>
      <w:pPr>
        <w:pStyle w:val="Heading2"/>
        <w:spacing w:after="100" w:before="220"/>
      </w:pPr>
      <w:r>
        <w:t xml:space="preserve">El libro miente en las dos direcciones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valor contable</w:t>
      </w:r>
      <w:r>
        <w:t xml:space="preserve"> (book) de un activo fijo es su costo histórico menos la amortización acumulada. El </w:t>
      </w:r>
      <w:r>
        <w:rPr>
          <w:b/>
          <w:bCs/>
        </w:rPr>
        <w:t xml:space="preserve">valor de mercado</w:t>
      </w:r>
      <w:r>
        <w:t xml:space="preserve"> (real) es lo que efectivamente valdría si se vendiera hoy. Casi nunca coinciden, y la brecha va en </w:t>
      </w:r>
      <w:r>
        <w:rPr>
          <w:b/>
          <w:bCs/>
        </w:rPr>
        <w:t xml:space="preserve">las dos direcciones</w:t>
      </w:r>
      <w:r>
        <w:t xml:space="preserve">: hay activos que valen </w:t>
      </w:r>
      <w:r>
        <w:rPr>
          <w:b/>
          <w:bCs/>
        </w:rPr>
        <w:t xml:space="preserve">mucho más</w:t>
      </w:r>
      <w:r>
        <w:t xml:space="preserve"> que su libro (activos ocultos) y otros que valen </w:t>
      </w:r>
      <w:r>
        <w:rPr>
          <w:b/>
          <w:bCs/>
        </w:rPr>
        <w:t xml:space="preserve">mucho menos</w:t>
      </w:r>
      <w:r>
        <w:t xml:space="preserve"> (sobrevaluados).</w:t>
      </w:r>
    </w:p>
    <w:p>
      <w:pPr>
        <w:spacing w:after="140" w:line="276"/>
      </w:pPr>
      <w:r>
        <w:t xml:space="preserve">En </w:t>
      </w:r>
      <w:r>
        <w:rPr>
          <w:b/>
          <w:bCs/>
        </w:rPr>
        <w:t xml:space="preserve">Andina</w:t>
      </w:r>
      <w:r>
        <w:t xml:space="preserve"> conviven los dos casos. El </w:t>
      </w:r>
      <w:r>
        <w:rPr>
          <w:b/>
          <w:bCs/>
        </w:rPr>
        <w:t xml:space="preserve">terreno</w:t>
      </w:r>
      <w:r>
        <w:t xml:space="preserve"> figura a costo histórico de </w:t>
      </w:r>
      <w:r>
        <w:rPr>
          <w:b/>
          <w:bCs/>
        </w:rPr>
        <w:t xml:space="preserve">350</w:t>
      </w:r>
      <w:r>
        <w:t xml:space="preserve"> pero a precio de mercado vale </w:t>
      </w:r>
      <w:r>
        <w:rPr>
          <w:b/>
          <w:bCs/>
        </w:rPr>
        <w:t xml:space="preserve">900</w:t>
      </w:r>
      <w:r>
        <w:t xml:space="preserve">: un activo oculto de 550 que la contabilidad no muestra (los terrenos no se amortizan y quedan congelados a un costo viejísimo). La </w:t>
      </w:r>
      <w:r>
        <w:rPr>
          <w:b/>
          <w:bCs/>
        </w:rPr>
        <w:t xml:space="preserve">maquinaria</w:t>
      </w:r>
      <w:r>
        <w:t xml:space="preserve"> figura a </w:t>
      </w:r>
      <w:r>
        <w:rPr>
          <w:b/>
          <w:bCs/>
        </w:rPr>
        <w:t xml:space="preserve">1450</w:t>
      </w:r>
      <w:r>
        <w:t xml:space="preserve"> de valor contable neto, pero parte está tecnológicamente obsoleta y a mercado vale solo </w:t>
      </w:r>
      <w:r>
        <w:rPr>
          <w:b/>
          <w:bCs/>
        </w:rPr>
        <w:t xml:space="preserve">1150</w:t>
      </w:r>
      <w:r>
        <w:t xml:space="preserve">: una sobrevaluación de 300 que el libro todavía arrastra.</w:t>
      </w:r>
    </w:p>
    <w:p>
      <w:pPr>
        <w:spacing w:after="140" w:line="276"/>
      </w:pPr>
      <w:r>
        <w:t xml:space="preserve">La razón de fondo es que la contabilidad de presentación usa el </w:t>
      </w:r>
      <w:r>
        <w:rPr>
          <w:b/>
          <w:bCs/>
        </w:rPr>
        <w:t xml:space="preserve">costo histórico</w:t>
      </w:r>
      <w:r>
        <w:t xml:space="preserve"> y reglas de amortización fijas, que ignoran la inflación, la apreciación inmobiliaria y la obsolescencia tecnológica real. En una economía emergente con inflación, esa distorsión se agranda: los activos viejos quedan a valores irrisorios y la base contable pierde todo significado económico.</w:t>
      </w:r>
    </w:p>
    <w:p>
      <w:pPr>
        <w:pStyle w:val="Heading2"/>
        <w:spacing w:after="100" w:before="220"/>
      </w:pPr>
      <w:r>
        <w:t xml:space="preserve">Por qué la brecha cambia decisiones</w:t>
      </w:r>
    </w:p>
    <w:p>
      <w:pPr>
        <w:spacing w:after="140" w:line="276"/>
      </w:pPr>
      <w:r>
        <w:t xml:space="preserve">La brecha book vs. real importa por varias razones. Para </w:t>
      </w:r>
      <w:r>
        <w:rPr>
          <w:b/>
          <w:bCs/>
        </w:rPr>
        <w:t xml:space="preserve">valuar</w:t>
      </w:r>
      <w:r>
        <w:t xml:space="preserve"> la empresa, lo que cuenta es el valor real, no el libro: un comprador paga por el terreno 900, no 350. Para calcular el </w:t>
      </w:r>
      <w:r>
        <w:rPr>
          <w:b/>
          <w:bCs/>
        </w:rPr>
        <w:t xml:space="preserve">ROIC</w:t>
      </w:r>
      <w:r>
        <w:t xml:space="preserve"> correctamente, el Capital Invertido debería medirse a valores económicos, no contables sobrevaluados o subvaluados. Y para decidir </w:t>
      </w:r>
      <w:r>
        <w:rPr>
          <w:b/>
          <w:bCs/>
        </w:rPr>
        <w:t xml:space="preserve">vender o redesplegar</w:t>
      </w:r>
      <w:r>
        <w:t xml:space="preserve"> un activo, lo único relevante es el valor de mercado.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activo oculto</w:t>
      </w:r>
      <w:r>
        <w:t xml:space="preserve"> (terreno 350 → 900) es valor que está ahí, invisible en el balance, y que un análisis de gestión debe sacar a la luz: puede ser garantía de crédito más barato, candidato a venta y </w:t>
      </w:r>
      <w:r>
        <w:rPr>
          <w:i/>
          <w:iCs/>
        </w:rPr>
        <w:t xml:space="preserve">leaseback</w:t>
      </w:r>
      <w:r>
        <w:t xml:space="preserve">, o simplemente patrimonio real que el dueño no está computando. La </w:t>
      </w:r>
      <w:r>
        <w:rPr>
          <w:b/>
          <w:bCs/>
        </w:rPr>
        <w:t xml:space="preserve">sobrevaluación</w:t>
      </w:r>
      <w:r>
        <w:t xml:space="preserve"> (maquinaria 1450 → 1150) es lo opuesto: un activo que el libro infla y que, si el negocio rinde menos por usar máquinas obsoletas, hay que reconocer y eventualmente reemplazar (CAPEX de expansión, ítem 5).</w:t>
      </w:r>
    </w:p>
    <w:p>
      <w:pPr>
        <w:spacing w:after="140" w:line="276"/>
      </w:pPr>
      <w:r>
        <w:rPr>
          <w:b/>
          <w:bCs/>
        </w:rPr>
        <w:t xml:space="preserve">Interrelación clave:</w:t>
      </w:r>
      <w:r>
        <w:t xml:space="preserve"> esta brecha es la misma lógica book vs. real que recorre todo el caso Andina (inventario obsoleto, cuentas incobrables de la Semana 7). Medir el Capital Invertido a valor real ajusta el </w:t>
      </w:r>
      <w:r>
        <w:rPr>
          <w:b/>
          <w:bCs/>
        </w:rPr>
        <w:t xml:space="preserve">ROIC</w:t>
      </w:r>
      <w:r>
        <w:t xml:space="preserve"> hacia abajo o hacia arriba y, con él, el spread ROIC − WACC (Semana 9) y la valuación integral (Semana 12).</w:t>
      </w:r>
    </w:p>
    <w:p>
      <w:pPr>
        <w:pStyle w:val="Heading2"/>
        <w:spacing w:after="100" w:before="220"/>
      </w:pPr>
      <w:r>
        <w:t xml:space="preserve">Errores frecuentes</w:t>
      </w:r>
    </w:p>
    <w:p>
      <w:pPr>
        <w:spacing w:after="140" w:line="276"/>
      </w:pPr>
      <w:r>
        <w:t xml:space="preserve">Valuar una empresa por su patrimonio contable, ignorando activos ocultos (subvaluar) y sobrevaluaciones (sobrevaluar). Calcular el ROIC sobre un Capital Invertido contable distorsionado. Y no revaluar nunca los inmuebles, dejando un terreno que vale 900 escondido como 350 en el libro: patrimonio real que no se gestiona.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Terreno — valor contable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350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Terreno — valor de mercado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900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Maquinaria — valor contable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1450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Maquinaria — valor de mercado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1150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Activo oculto del terreno (real − book)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terrenoReal-terrenoBook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Sobrevaluación de la maquinaria (book − real)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maqBook-maqReal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Brecha neta de valor (real − book)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(terrenoReal+maqReal)-(terrenoBook+maqBook)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2026-06-24T11:50:52.580Z</dcterms:created>
  <dcterms:modified xsi:type="dcterms:W3CDTF">2026-06-24T11:50:52.580Z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