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8</w:t>
      </w:r>
    </w:p>
    <w:p>
      <w:pPr>
        <w:pStyle w:val="Title"/>
        <w:spacing w:after="40"/>
      </w:pPr>
      <w:r>
        <w:t xml:space="preserve">Ítem 3. RONIC: retorno sobre el capital nuevo invertido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Qué rinde el próximo peso, no el promedio histórico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ronic · Return on New Invested Capital</w:t>
      </w:r>
    </w:p>
    <w:p>
      <w:pPr>
        <w:pStyle w:val="Heading2"/>
        <w:spacing w:after="100" w:before="220"/>
      </w:pPr>
      <w:r>
        <w:t xml:space="preserve">El espejo retrovisor y el parabrisas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RONIC (Return on New Invested Capital)</w:t>
      </w:r>
      <w:r>
        <w:t xml:space="preserve"> mide el retorno que la empresa obtiene sobre el capital </w:t>
      </w:r>
      <w:r>
        <w:rPr>
          <w:b/>
          <w:bCs/>
        </w:rPr>
        <w:t xml:space="preserve">incremental</w:t>
      </w:r>
      <w:r>
        <w:t xml:space="preserve"> —el capital nuevo— que pone a trabajar en un período. Es distinto del </w:t>
      </w:r>
      <w:r>
        <w:rPr>
          <w:b/>
          <w:bCs/>
        </w:rPr>
        <w:t xml:space="preserve">ROIC</w:t>
      </w:r>
      <w:r>
        <w:t xml:space="preserve">, que mide el retorno sobre </w:t>
      </w:r>
      <w:r>
        <w:rPr>
          <w:b/>
          <w:bCs/>
        </w:rPr>
        <w:t xml:space="preserve">todo</w:t>
      </w:r>
      <w:r>
        <w:t xml:space="preserve"> el stock de capital acumulado a lo largo de la historia. El ROIC mira el </w:t>
      </w:r>
      <w:r>
        <w:rPr>
          <w:b/>
          <w:bCs/>
        </w:rPr>
        <w:t xml:space="preserve">espejo retrovisor</w:t>
      </w:r>
      <w:r>
        <w:t xml:space="preserve"> ("¿qué rinde, en promedio, todo lo que ya invertí?"); el RONIC mira el </w:t>
      </w:r>
      <w:r>
        <w:rPr>
          <w:b/>
          <w:bCs/>
        </w:rPr>
        <w:t xml:space="preserve">parabrisas</w:t>
      </w:r>
      <w:r>
        <w:t xml:space="preserve"> ("¿qué rinde el próximo peso que invierto?").</w:t>
      </w:r>
    </w:p>
    <w:p>
      <w:pPr>
        <w:spacing w:after="140" w:line="276"/>
      </w:pPr>
      <w:r>
        <w:t xml:space="preserve">La distinción es filosa porque una empresa puede tener un ROIC histórico altísimo —heredado de inversiones viejas hechas cuando gozaba de una ventaja competitiva— y a la vez un RONIC bajo, porque los proyectos nuevos ya enfrentan competencia plena y rinden mucho menos. Para decidir si </w:t>
      </w:r>
      <w:r>
        <w:rPr>
          <w:b/>
          <w:bCs/>
        </w:rPr>
        <w:t xml:space="preserve">conviene seguir invirtiendo</w:t>
      </w:r>
      <w:r>
        <w:t xml:space="preserve">, el indicador correcto es el RONIC, no el ROIC.</w:t>
      </w:r>
    </w:p>
    <w:p>
      <w:pPr>
        <w:spacing w:after="140" w:line="276"/>
      </w:pPr>
      <w:r>
        <w:t xml:space="preserve">La fórmula es </w:t>
      </w:r>
      <w:r>
        <w:rPr>
          <w:b/>
          <w:bCs/>
        </w:rPr>
        <w:t xml:space="preserve">RONIC = ΔNOPAT / ΔCapital Invertido</w:t>
      </w:r>
      <w:r>
        <w:t xml:space="preserve">: el cambio en el resultado operativo después de impuestos dividido por la inversión neta del período (CAPEX + ΔCapital de trabajo − amortización, lo que efectivamente se sumó al capital). Con el rezago correcto, el capital que invertís en un período recién genera NOPAT en el siguiente.</w:t>
      </w:r>
    </w:p>
    <w:p>
      <w:pPr>
        <w:pStyle w:val="Heading2"/>
        <w:spacing w:after="100" w:before="220"/>
      </w:pPr>
      <w:r>
        <w:t xml:space="preserve">El teorema central: crecer no siempre crea valor</w:t>
      </w:r>
    </w:p>
    <w:p>
      <w:pPr>
        <w:spacing w:after="140" w:line="276"/>
      </w:pPr>
      <w:r>
        <w:t xml:space="preserve">El RONIC gobierna la regla más importante de la asignación de capital: </w:t>
      </w:r>
      <w:r>
        <w:rPr>
          <w:b/>
          <w:bCs/>
        </w:rPr>
        <w:t xml:space="preserve">el crecimiento solo crea valor si RONIC &gt; WACC</w:t>
      </w:r>
      <w:r>
        <w:t xml:space="preserve">. Si RONIC &lt; WACC, </w:t>
      </w:r>
      <w:r>
        <w:rPr>
          <w:b/>
          <w:bCs/>
        </w:rPr>
        <w:t xml:space="preserve">crecer destruye valor</w:t>
      </w:r>
      <w:r>
        <w:t xml:space="preserve">. Si RONIC = WACC, el crecimiento es </w:t>
      </w:r>
      <w:r>
        <w:rPr>
          <w:b/>
          <w:bCs/>
        </w:rPr>
        <w:t xml:space="preserve">irrelevante</w:t>
      </w:r>
      <w:r>
        <w:t xml:space="preserve"> (la empresa vale lo mismo crezca o no, NOPAT/WACC). Lo que crea valor no es el crecimiento en sí, sino el </w:t>
      </w:r>
      <w:r>
        <w:rPr>
          <w:b/>
          <w:bCs/>
        </w:rPr>
        <w:t xml:space="preserve">spread RONIC − WACC</w:t>
      </w:r>
      <w:r>
        <w:t xml:space="preserve">; el crecimiento es apenas un multiplicador de ese spread.</w:t>
      </w:r>
    </w:p>
    <w:p>
      <w:pPr>
        <w:spacing w:after="140" w:line="276"/>
      </w:pPr>
      <w:r>
        <w:t xml:space="preserve">La consecuencia es demoledora: dos empresas que crecen al mismo ritmo pueden valer cosas muy distintas según su RONIC. Una que reinvierte a RONIC del 20% con WACC del 10% crea valor; una que reinvierte al 6% con el mismo WACC se vuelve </w:t>
      </w:r>
      <w:r>
        <w:rPr>
          <w:b/>
          <w:bCs/>
        </w:rPr>
        <w:t xml:space="preserve">más grande y más pobre</w:t>
      </w:r>
      <w:r>
        <w:t xml:space="preserve"> a la vez. En mercados emergentes el umbral es altísimo: el RONIC se compara contra un WACC que ya trae el riesgo país adentro (20%+), así que un proyecto con RONIC del 12% que en EE.UU. crearía valor, en Argentina probablemente lo destruye.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el RONIC se construye con la inversión neta (CAPEX − amortización del ítem 1, más el ΔCapital de trabajo de la Semana 7) y se compara contra el </w:t>
      </w:r>
      <w:r>
        <w:rPr>
          <w:b/>
          <w:bCs/>
        </w:rPr>
        <w:t xml:space="preserve">WACC</w:t>
      </w:r>
      <w:r>
        <w:t xml:space="preserve"> (Semana 9). Gobierna el </w:t>
      </w:r>
      <w:r>
        <w:rPr>
          <w:b/>
          <w:bCs/>
        </w:rPr>
        <w:t xml:space="preserve">valor terminal</w:t>
      </w:r>
      <w:r>
        <w:t xml:space="preserve"> de la valuación (Semana 12): proyectar el TV con el ROIC histórico alto lo infla; el RONIC obliga a asumir que la competencia comprime los retornos hacia el WACC (</w:t>
      </w:r>
      <w:r>
        <w:rPr>
          <w:i/>
          <w:iCs/>
        </w:rPr>
        <w:t xml:space="preserve">fade</w:t>
      </w:r>
      <w:r>
        <w:t xml:space="preserve">).</w:t>
      </w:r>
    </w:p>
    <w:p>
      <w:pPr>
        <w:pStyle w:val="Heading2"/>
        <w:spacing w:after="100" w:before="220"/>
      </w:pPr>
      <w:r>
        <w:t xml:space="preserve">Errores frecuentes</w:t>
      </w:r>
    </w:p>
    <w:p>
      <w:pPr>
        <w:spacing w:after="140" w:line="276"/>
      </w:pPr>
      <w:r>
        <w:t xml:space="preserve">Usar el ROIC histórico para decidir nuevas inversiones (mira el pasado, no el margen del próximo proyecto). Proyectar el valor terminal con un ROIC alto que la competencia normalmente erosiona. Y en una economía emergente, olvidar que el RONIC se mide contra un WACC con riesgo país: muchas inversiones "rentables" en términos operativos destruyen valor contra el costo de capital correcto.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Δ NOPAT del período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CAPEX del período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Amortización del período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Δ Capital de trabajo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720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WACC (con riesgo país)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0.21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Inversión neta (CAPEX − amort + ΔWC)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capex-amort+deltaWC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RONIC = ΔNOPAT / inversión neta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deltaNopat/invNeta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Spread RONIC − WACC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ronic-wacc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2026-06-24T11:50:52.595Z</dcterms:created>
  <dcterms:modified xsi:type="dcterms:W3CDTF">2026-06-24T11:50:52.595Z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