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D4AF37"/>
          <w:sz w:val="18"/>
          <w:szCs w:val="18"/>
        </w:rPr>
        <w:t xml:space="preserve">ACADEMIA FC + IA · Semana 9</w:t>
      </w:r>
    </w:p>
    <w:p>
      <w:pPr>
        <w:pStyle w:val="Title"/>
        <w:spacing w:after="40"/>
      </w:pPr>
      <w:r>
        <w:t xml:space="preserve">Ítem 3. El WACC ponderado</w:t>
      </w:r>
    </w:p>
    <w:p>
      <w:pPr>
        <w:spacing w:after="40"/>
      </w:pPr>
      <w:r>
        <w:rPr>
          <w:i/>
          <w:iCs/>
          <w:color w:val="555555"/>
          <w:sz w:val="22"/>
          <w:szCs w:val="22"/>
        </w:rPr>
        <w:t xml:space="preserve">Combinar el costo del equity y de la deuda con el escudo fiscal</w:t>
      </w:r>
    </w:p>
    <w:p>
      <w:pPr>
        <w:spacing w:after="160"/>
      </w:pPr>
      <w:r>
        <w:rPr>
          <w:b/>
          <w:bCs/>
          <w:color w:val="94741F"/>
          <w:sz w:val="18"/>
          <w:szCs w:val="18"/>
        </w:rPr>
        <w:t xml:space="preserve">Marco: WACC · Modigliani-Miller</w:t>
      </w:r>
    </w:p>
    <w:p>
      <w:pPr>
        <w:pStyle w:val="Heading2"/>
        <w:spacing w:after="100" w:before="220"/>
      </w:pPr>
      <w:r>
        <w:t xml:space="preserve">El costo promedio ponderado del capital</w:t>
      </w:r>
    </w:p>
    <w:p>
      <w:pPr>
        <w:spacing w:after="140" w:line="276"/>
      </w:pPr>
      <w:r>
        <w:t xml:space="preserve">El </w:t>
      </w:r>
      <w:r>
        <w:rPr>
          <w:b/>
          <w:bCs/>
        </w:rPr>
        <w:t xml:space="preserve">WACC (Weighted Average Cost of Capital)</w:t>
      </w:r>
      <w:r>
        <w:t xml:space="preserve"> combina lo que cuesta financiarse con los dueños (Ke) y con los acreedores (Kd), ponderado por cuánto pesa cada fuente: WACC = (E/V)·Ke + (D/V)·Kd·(1−t).</w:t>
      </w:r>
    </w:p>
    <w:p>
      <w:pPr>
        <w:spacing w:after="140" w:line="276"/>
      </w:pPr>
      <w:r>
        <w:t xml:space="preserve">La deuda entra </w:t>
      </w:r>
      <w:r>
        <w:rPr>
          <w:b/>
          <w:bCs/>
        </w:rPr>
        <w:t xml:space="preserve">después de impuestos</w:t>
      </w:r>
      <w:r>
        <w:t xml:space="preserve"> porque los intereses son deducibles: el Estado "subsidia" parte del costo financiero. Ese es el </w:t>
      </w:r>
      <w:r>
        <w:rPr>
          <w:b/>
          <w:bCs/>
        </w:rPr>
        <w:t xml:space="preserve">escudo fiscal</w:t>
      </w:r>
      <w:r>
        <w:t xml:space="preserve">, y es la razón por la que un poco de deuda baja el WACC.</w:t>
      </w:r>
    </w:p>
    <w:p>
      <w:pPr>
        <w:spacing w:after="140" w:line="276"/>
      </w:pPr>
      <w:r>
        <w:t xml:space="preserve">El WACC es la </w:t>
      </w:r>
      <w:r>
        <w:rPr>
          <w:b/>
          <w:bCs/>
        </w:rPr>
        <w:t xml:space="preserve">tasa de descuento</w:t>
      </w:r>
      <w:r>
        <w:t xml:space="preserve"> del flujo de fondos de la firma (FCFF) y la </w:t>
      </w:r>
      <w:r>
        <w:rPr>
          <w:b/>
          <w:bCs/>
        </w:rPr>
        <w:t xml:space="preserve">vara mínima</w:t>
      </w:r>
      <w:r>
        <w:t xml:space="preserve"> que el ROIC debe superar para crear valor. Es la bisagra entre el costo del capital (esta semana) y la valuación (Semana 12).</w:t>
      </w:r>
    </w:p>
    <w:p>
      <w:pPr>
        <w:pStyle w:val="Heading2"/>
        <w:spacing w:after="100" w:before="220"/>
      </w:pPr>
      <w:r>
        <w:t xml:space="preserve">El Kd verdadero en un mercado emergente</w:t>
      </w:r>
    </w:p>
    <w:p>
      <w:pPr>
        <w:spacing w:after="140" w:line="276"/>
      </w:pPr>
      <w:r>
        <w:t xml:space="preserve">El Kd no es la tasa del cartel del banco: es el costo efectivo de TODA la deuda onerosa (préstamos, descubierto, cheques descontados), ponderado por su peso. En economías con tasas altas, el Kd local puede ser muy superior al de un manual estadounidense.</w:t>
      </w:r>
    </w:p>
    <w:p>
      <w:pPr>
        <w:spacing w:after="140" w:line="276"/>
      </w:pPr>
      <w:r>
        <w:rPr>
          <w:b/>
          <w:bCs/>
        </w:rPr>
        <w:t xml:space="preserve">Cuidado con la estructura:</w:t>
      </w:r>
      <w:r>
        <w:t xml:space="preserve"> el WACC supone una estructura de capital </w:t>
      </w:r>
      <w:r>
        <w:rPr>
          <w:b/>
          <w:bCs/>
        </w:rPr>
        <w:t xml:space="preserve">constante</w:t>
      </w:r>
      <w:r>
        <w:t xml:space="preserve"> en el tiempo. Si la empresa está desapalancándose o reestructurando pasivos (LBO, plan de pagos), el WACC falla y conviene valuar por </w:t>
      </w:r>
      <w:r>
        <w:rPr>
          <w:b/>
          <w:bCs/>
        </w:rPr>
        <w:t xml:space="preserve">APV</w:t>
      </w:r>
      <w:r>
        <w:t xml:space="preserve"> (Semanas 10 y 12).</w:t>
      </w:r>
    </w:p>
    <w:p>
      <w:pPr>
        <w:pStyle w:val="Heading2"/>
        <w:spacing w:after="100" w:before="220"/>
      </w:pPr>
      <w:r>
        <w:t xml:space="preserve">El modelo: variables y fórmulas</w:t>
      </w: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Variable de entrada</w:t>
            </w:r>
          </w:p>
        </w:tc>
        <w:tc>
          <w:tcPr>
            <w:shd w:fill="0B1120" w:color="0B1120" w:val="solid"/>
          </w:tcPr>
          <w:p>
            <w:r>
              <w:rPr>
                <w:b/>
                <w:bCs/>
                <w:color w:val="FFFFFF"/>
                <w:sz w:val="18"/>
                <w:szCs w:val="18"/>
              </w:rPr>
              <w:t xml:space="preserve">Valor base</w:t>
            </w:r>
          </w:p>
        </w:tc>
      </w:tr>
      <w:tr>
        <w:tc>
          <w:p>
            <w:pPr>
              <w:jc w:val="left"/>
            </w:pPr>
            <w:r>
              <w:rPr>
                <w:sz w:val="18"/>
                <w:szCs w:val="18"/>
              </w:rPr>
              <w:t xml:space="preserve">Costo del equity (Ke, con riesgo país)</w:t>
            </w:r>
          </w:p>
        </w:tc>
        <w:tc>
          <w:p>
            <w:pPr>
              <w:jc w:val="right"/>
            </w:pPr>
            <w:r>
              <w:rPr>
                <w:sz w:val="18"/>
                <w:szCs w:val="18"/>
              </w:rPr>
              <w:t xml:space="preserve">0.2</w:t>
            </w:r>
          </w:p>
        </w:tc>
      </w:tr>
      <w:tr>
        <w:tc>
          <w:p>
            <w:pPr>
              <w:jc w:val="left"/>
            </w:pPr>
            <w:r>
              <w:rPr>
                <w:sz w:val="18"/>
                <w:szCs w:val="18"/>
              </w:rPr>
              <w:t xml:space="preserve">Costo de la deuda (antes de impuesto)</w:t>
            </w:r>
          </w:p>
        </w:tc>
        <w:tc>
          <w:p>
            <w:pPr>
              <w:jc w:val="right"/>
            </w:pPr>
            <w:r>
              <w:rPr>
                <w:sz w:val="18"/>
                <w:szCs w:val="18"/>
              </w:rPr>
              <w:t xml:space="preserve">0.18</w:t>
            </w:r>
          </w:p>
        </w:tc>
      </w:tr>
      <w:tr>
        <w:tc>
          <w:p>
            <w:pPr>
              <w:jc w:val="left"/>
            </w:pPr>
            <w:r>
              <w:rPr>
                <w:sz w:val="18"/>
                <w:szCs w:val="18"/>
              </w:rPr>
              <w:t xml:space="preserve">Tasa de impuesto</w:t>
            </w:r>
          </w:p>
        </w:tc>
        <w:tc>
          <w:p>
            <w:pPr>
              <w:jc w:val="right"/>
            </w:pPr>
            <w:r>
              <w:rPr>
                <w:sz w:val="18"/>
                <w:szCs w:val="18"/>
              </w:rPr>
              <w:t xml:space="preserve">0.35</w:t>
            </w:r>
          </w:p>
        </w:tc>
      </w:tr>
      <w:tr>
        <w:tc>
          <w:p>
            <w:pPr>
              <w:jc w:val="left"/>
            </w:pPr>
            <w:r>
              <w:rPr>
                <w:sz w:val="18"/>
                <w:szCs w:val="18"/>
              </w:rPr>
              <w:t xml:space="preserve">Peso de la deuda (D/V)</w:t>
            </w:r>
          </w:p>
        </w:tc>
        <w:tc>
          <w:p>
            <w:pPr>
              <w:jc w:val="right"/>
            </w:pPr>
            <w:r>
              <w:rPr>
                <w:sz w:val="18"/>
                <w:szCs w:val="18"/>
              </w:rPr>
              <w:t xml:space="preserve">0.45</w:t>
            </w:r>
          </w:p>
        </w:tc>
      </w:tr>
    </w:tbl>
    <w:p>
      <w:pPr>
        <w:spacing w:after="100"/>
      </w:pPr>
    </w:p>
    <w:tbl>
      <w:tblPr>
        <w:tblW w:type="pct" w:w="100%"/>
        <w:tblBorders>
          <w:top w:val="single" w:color="CCCCCC" w:sz="4"/>
          <w:left w:val="single" w:color="CCCCCC" w:sz="4"/>
          <w:bottom w:val="single" w:color="CCCCCC" w:sz="4"/>
          <w:right w:val="single" w:color="CCCCCC" w:sz="4"/>
          <w:insideH w:val="single" w:color="CCCCCC" w:sz="4"/>
          <w:insideV w:val="single" w:color="CCCCCC" w:sz="4"/>
        </w:tblBorders>
      </w:tblPr>
      <w:tblGrid>
        <w:gridCol w:w="100"/>
        <w:gridCol w:w="100"/>
      </w:tblGrid>
      <w:tr>
        <w:trPr>
          <w:tblHeader/>
        </w:trPr>
        <w:tc>
          <w:tcPr>
            <w:shd w:fill="0B1120" w:color="0B1120" w:val="solid"/>
          </w:tcPr>
          <w:p>
            <w:r>
              <w:rPr>
                <w:b/>
                <w:bCs/>
                <w:color w:val="FFFFFF"/>
                <w:sz w:val="18"/>
                <w:szCs w:val="18"/>
              </w:rPr>
              <w:t xml:space="preserve">Indicador calculado</w:t>
            </w:r>
          </w:p>
        </w:tc>
        <w:tc>
          <w:tcPr>
            <w:shd w:fill="0B1120" w:color="0B1120" w:val="solid"/>
          </w:tcPr>
          <w:p>
            <w:r>
              <w:rPr>
                <w:b/>
                <w:bCs/>
                <w:color w:val="FFFFFF"/>
                <w:sz w:val="18"/>
                <w:szCs w:val="18"/>
              </w:rPr>
              <w:t xml:space="preserve">Fórmula</w:t>
            </w:r>
          </w:p>
        </w:tc>
      </w:tr>
      <w:tr>
        <w:tc>
          <w:p>
            <w:pPr>
              <w:jc w:val="left"/>
            </w:pPr>
            <w:r>
              <w:rPr>
                <w:sz w:val="18"/>
                <w:szCs w:val="18"/>
              </w:rPr>
              <w:t xml:space="preserve">Peso del equity (E/V)</w:t>
            </w:r>
          </w:p>
        </w:tc>
        <w:tc>
          <w:p>
            <w:pPr>
              <w:jc w:val="right"/>
            </w:pPr>
            <w:r>
              <w:rPr>
                <w:sz w:val="18"/>
                <w:szCs w:val="18"/>
              </w:rPr>
              <w:t xml:space="preserve">1-wd</w:t>
            </w:r>
          </w:p>
        </w:tc>
      </w:tr>
      <w:tr>
        <w:tc>
          <w:p>
            <w:pPr>
              <w:jc w:val="left"/>
            </w:pPr>
            <w:r>
              <w:rPr>
                <w:sz w:val="18"/>
                <w:szCs w:val="18"/>
              </w:rPr>
              <w:t xml:space="preserve">Kd después de impuesto</w:t>
            </w:r>
          </w:p>
        </w:tc>
        <w:tc>
          <w:p>
            <w:pPr>
              <w:jc w:val="right"/>
            </w:pPr>
            <w:r>
              <w:rPr>
                <w:sz w:val="18"/>
                <w:szCs w:val="18"/>
              </w:rPr>
              <w:t xml:space="preserve">kd*(1-tax)</w:t>
            </w:r>
          </w:p>
        </w:tc>
      </w:tr>
      <w:tr>
        <w:tc>
          <w:p>
            <w:pPr>
              <w:jc w:val="left"/>
            </w:pPr>
            <w:r>
              <w:rPr>
                <w:sz w:val="18"/>
                <w:szCs w:val="18"/>
              </w:rPr>
              <w:t xml:space="preserve">WACC</w:t>
            </w:r>
          </w:p>
        </w:tc>
        <w:tc>
          <w:p>
            <w:pPr>
              <w:jc w:val="right"/>
            </w:pPr>
            <w:r>
              <w:rPr>
                <w:sz w:val="18"/>
                <w:szCs w:val="18"/>
              </w:rPr>
              <w:t xml:space="preserve">we</w:t>
            </w:r>
            <w:r>
              <w:rPr>
                <w:i/>
                <w:iCs/>
                <w:sz w:val="18"/>
                <w:szCs w:val="18"/>
              </w:rPr>
              <w:t xml:space="preserve">ke+wd</w:t>
            </w:r>
            <w:r>
              <w:rPr>
                <w:sz w:val="18"/>
                <w:szCs w:val="18"/>
              </w:rPr>
              <w:t xml:space="preserve">kdAfter</w:t>
            </w:r>
          </w:p>
        </w:tc>
      </w:tr>
    </w:tbl>
    <w:p>
      <w:pPr>
        <w:spacing w:before="160"/>
      </w:pPr>
      <w:r>
        <w:t xml:space="preserve">Abrí el </w:t>
      </w:r>
      <w:r>
        <w:rPr>
          <w:b/>
          <w:bCs/>
        </w:rPr>
        <w:t xml:space="preserve">modelo interactivo</w:t>
      </w:r>
      <w:r>
        <w:t xml:space="preserve"> de este ítem en la plataforma para mover las variables en vivo, y usá el Excel para construir tu propio caso con matrices dinámicas.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rPr>
      <w:b/>
      <w:bCs/>
      <w:color w:val="0B1120"/>
      <w:sz w:val="36"/>
      <w:szCs w:val="36"/>
    </w:rPr>
  </w:style>
  <w:style w:type="paragraph" w:styleId="Heading2">
    <w:name w:val="Heading 2"/>
    <w:pPr>
      <w:spacing w:after="100" w:before="200"/>
    </w:pPr>
    <w:rPr>
      <w:b/>
      <w:bCs/>
      <w:color w:val="9474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2026-06-24T11:50:52.674Z</dcterms:created>
  <dcterms:modified xsi:type="dcterms:W3CDTF">2026-06-24T11:50:52.674Z</dcterms:modified>
</cp:coreProperties>
</file>

<file path=docProps/custom.xml><?xml version="1.0" encoding="utf-8"?>
<Properties xmlns="http://schemas.openxmlformats.org/officeDocument/2006/custom-properties" xmlns:vt="http://schemas.openxmlformats.org/officeDocument/2006/docPropsVTypes"/>
</file>