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9</w:t>
      </w:r>
    </w:p>
    <w:p>
      <w:pPr>
        <w:pStyle w:val="Title"/>
        <w:spacing w:after="40"/>
      </w:pPr>
      <w:r>
        <w:t xml:space="preserve">Ítem 4. Ke de la PyME no cotizada (Beta Total)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Por qué el dueño no diversificado exige una tasa mayor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Damodaran · Pereiro (AL-CAPM)</w:t>
      </w:r>
    </w:p>
    <w:p>
      <w:pPr>
        <w:pStyle w:val="Heading2"/>
        <w:spacing w:after="100" w:before="220"/>
      </w:pPr>
      <w:r>
        <w:t xml:space="preserve">El dueño que tiene todos los huevos en una canasta</w:t>
      </w:r>
    </w:p>
    <w:p>
      <w:pPr>
        <w:spacing w:after="140" w:line="276"/>
      </w:pPr>
      <w:r>
        <w:t xml:space="preserve">El CAPM supone un inversor </w:t>
      </w:r>
      <w:r>
        <w:rPr>
          <w:b/>
          <w:bCs/>
        </w:rPr>
        <w:t xml:space="preserve">diversificado</w:t>
      </w:r>
      <w:r>
        <w:t xml:space="preserve"> que solo cobra por el riesgo sistemático (la beta). Pero el dueño de una PyME tiene </w:t>
      </w:r>
      <w:r>
        <w:rPr>
          <w:b/>
          <w:bCs/>
        </w:rPr>
        <w:t xml:space="preserve">casi todo su patrimonio en una sola empresa</w:t>
      </w:r>
      <w:r>
        <w:t xml:space="preserve">: soporta el riesgo total, no solo el de mercado. Por eso exige más.</w:t>
      </w:r>
    </w:p>
    <w:p>
      <w:pPr>
        <w:spacing w:after="140" w:line="276"/>
      </w:pPr>
      <w:r>
        <w:t xml:space="preserve">La herramienta es la </w:t>
      </w:r>
      <w:r>
        <w:rPr>
          <w:b/>
          <w:bCs/>
        </w:rPr>
        <w:t xml:space="preserve">Beta Total</w:t>
      </w:r>
      <w:r>
        <w:t xml:space="preserve"> de Damodaran: β_total = β / ρ, donde ρ es la correlación de la empresa con el mercado (la raíz del R²). Como ρ &lt; 1, la Beta Total es </w:t>
      </w:r>
      <w:r>
        <w:rPr>
          <w:b/>
          <w:bCs/>
        </w:rPr>
        <w:t xml:space="preserve">siempre mayor</w:t>
      </w:r>
      <w:r>
        <w:t xml:space="preserve"> que la beta de mercado, y tanto más cuanto menos correlacionada (más idiosincrática) es la empresa.</w:t>
      </w:r>
    </w:p>
    <w:p>
      <w:pPr>
        <w:spacing w:after="140" w:line="276"/>
      </w:pPr>
      <w:r>
        <w:t xml:space="preserve">Equivalentemente, Pereiro lo formaliza en el </w:t>
      </w:r>
      <w:r>
        <w:rPr>
          <w:b/>
          <w:bCs/>
        </w:rPr>
        <w:t xml:space="preserve">AL-CAPM</w:t>
      </w:r>
      <w:r>
        <w:t xml:space="preserve"> (CAPM ajustado para Latinoamérica) y AECA en el </w:t>
      </w:r>
      <w:r>
        <w:rPr>
          <w:b/>
          <w:bCs/>
        </w:rPr>
        <w:t xml:space="preserve">3CM</w:t>
      </w:r>
      <w:r>
        <w:t xml:space="preserve">. La idea común: un dueño concentrado descuenta sus flujos a una tasa más alta que un fondo diversificado.</w:t>
      </w:r>
    </w:p>
    <w:p>
      <w:pPr>
        <w:pStyle w:val="Heading2"/>
        <w:spacing w:after="100" w:before="220"/>
      </w:pPr>
      <w:r>
        <w:t xml:space="preserve">Beta Total y la prima por tamaño</w:t>
      </w:r>
    </w:p>
    <w:p>
      <w:pPr>
        <w:spacing w:after="140" w:line="276"/>
      </w:pPr>
      <w:r>
        <w:t xml:space="preserve">Sobre la Beta Total se apila además la </w:t>
      </w:r>
      <w:r>
        <w:rPr>
          <w:b/>
          <w:bCs/>
        </w:rPr>
        <w:t xml:space="preserve">prima por tamaño</w:t>
      </w:r>
      <w:r>
        <w:t xml:space="preserve">: las empresas chicas son más frágiles (menos acceso al crédito, más dependientes de pocos clientes), y el mercado les exige un plus. Damodaran y Duff &amp; Phelps publican estas primas por decil de capitalización.</w:t>
      </w:r>
    </w:p>
    <w:p>
      <w:pPr>
        <w:spacing w:after="140" w:line="276"/>
      </w:pPr>
      <w:r>
        <w:rPr>
          <w:b/>
          <w:bCs/>
        </w:rPr>
        <w:t xml:space="preserve">Interrelación:</w:t>
      </w:r>
      <w:r>
        <w:t xml:space="preserve"> este Ke "del dueño" es el que se usa para valuar la PyME por DCF o TSR Sintético (Semana 12) y para fijar la </w:t>
      </w:r>
      <w:r>
        <w:rPr>
          <w:b/>
          <w:bCs/>
        </w:rPr>
        <w:t xml:space="preserve">política de dividendos</w:t>
      </w:r>
      <w:r>
        <w:t xml:space="preserve"> (si el ROIC del negocio supera a este Ke, conviene reinvertir; si no, distribuir). También se conecta con los descuentos DLOC/DLOM por falta de control y de liquidez.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Valuar una PyME familiar con el Ke de una empresa que cotiza (subvaluar el riesgo). Olvidar la prima por tamaño. O, al revés, apilar primas sin criterio y llegar a un Ke absurdo de 40%+ que mata cualquier proyecto.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libre de riesgo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0.043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Prima de mercado (ERP)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0.055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Beta de mercado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0.85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Correlación con el mercado (ρ)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Riesgo país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Prima por tamaño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0.035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Beta Total (β / ρ)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betaMkt/rho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Ke inversor diversificado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rf+betaMkt*erp+crp+size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Ke dueño no diversificado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rf+betaTotal*erp+crp+size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Plus por no diversificar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(betaTotal-betaMkt)*erp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2026-06-24T11:50:52.688Z</dcterms:created>
  <dcterms:modified xsi:type="dcterms:W3CDTF">2026-06-24T11:50:52.688Z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